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6727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浩特国际旅行卫生保健中心实验室门禁系统维修升级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55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560" w:lineRule="exact"/>
              <w:ind w:firstLine="0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综合评分法（权重：价格XX%、评审因素XX%）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2000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说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明</w:t>
            </w:r>
          </w:p>
        </w:tc>
        <w:tc>
          <w:tcPr>
            <w:tcW w:w="6727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 xml:space="preserve">2.详细需求栏中所有加“★”项的需求均为实质性要求，不满足实质性要求的响应文件将按无效响应文件处理。 </w:t>
            </w:r>
          </w:p>
        </w:tc>
      </w:tr>
      <w:tr>
        <w:trPr>
          <w:trHeight w:val="1623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727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具有独立承担民事责任的能力；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具有良好商业信誉和健全的财务会计制度；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3.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具有履行合同所必需的设备和专业技术能力；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4.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有依法缴纳税收和社会保障资金的良好记录；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5.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参加政府采购前三年内，在经营活动中没有重大违法记录；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6.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法律、行政法规规定的其它条件；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7.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营业范围含装饰装潢、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电力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维修维护相关服务。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本项目不接受联合体参与，严禁挂靠、借用资质、违法分包设计工作；所有业绩须为本单位自有业绩，采购方有权核查合同、发票、施工图原件，一经查实挂靠、造假情形直接按无效响应处理，纳入采购黑名单。</w:t>
            </w:r>
          </w:p>
          <w:p>
            <w:pPr>
              <w:snapToGrid w:val="0"/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2008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</w:t>
            </w:r>
          </w:p>
        </w:tc>
        <w:tc>
          <w:tcPr>
            <w:tcW w:w="6727" w:type="dxa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一、项目情况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1.采购内容：具体详见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附件实验室门禁系统维修升级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项目清单。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总体要求：选用的设备、材料必须为国标产品、符合国家验收标准。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2.报价说明：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本项目报价上限为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55000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元(大写: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伍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万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伍仟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元整)，超出此报价视为响应无效，取消响应资格。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二、商务要求：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1.工期：合同签订后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天内完工；施工地点：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二连浩特国际旅行卫生保健中心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2.支付方式：合同生效，乙方提交合规有效发票后，甲方于3个工作日内支付合同价款的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0%作为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付款；乙方完成全部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维修改造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、安装调试工作，经甲方验收合格并提交完整资料及对应发票后，甲方向乙方一次性支付剩余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50%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合同价款。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3.质量要求：符合国家及行业相关规范和标准，满足设计要求。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.安全要求：确保安全文明施工，执行国家现行相关规定。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.质量保修期：质保期1年，验收合格之日起计算。</w:t>
            </w:r>
          </w:p>
          <w:p>
            <w:pPr>
              <w:spacing w:line="360" w:lineRule="exact"/>
              <w:ind w:left="0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</w:tc>
      </w:tr>
      <w:tr>
        <w:trPr>
          <w:trHeight w:val="2634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72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</w:tc>
      </w:tr>
      <w:tr>
        <w:trPr>
          <w:trHeight w:val="2814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其他因素</w:t>
            </w:r>
          </w:p>
        </w:tc>
        <w:tc>
          <w:tcPr>
            <w:tcW w:w="672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无</w:t>
            </w:r>
          </w:p>
        </w:tc>
      </w:tr>
    </w:tbl>
    <w:p>
      <w:pPr>
        <w:pStyle w:val="15"/>
        <w:rPr>
          <w:rFonts w:ascii="宋体" w:eastAsia="宋体" w:cs="宋体" w:hint="eastAsia"/>
          <w:i w:val="0"/>
          <w:iCs w:val="0"/>
          <w:color w:val="000000"/>
          <w:kern w:val="0"/>
          <w:sz w:val="22"/>
          <w:szCs w:val="22"/>
          <w:u w:val="none"/>
          <w:lang w:val="en-US" w:eastAsia="zh-CN"/>
        </w:rPr>
      </w:pPr>
    </w:p>
    <w:p>
      <w:pPr>
        <w:pStyle w:val="15"/>
        <w:rPr>
          <w:rFonts w:ascii="宋体" w:eastAsia="宋体" w:cs="宋体" w:hint="eastAsia"/>
          <w:i w:val="0"/>
          <w:iCs w:val="0"/>
          <w:color w:val="000000"/>
          <w:kern w:val="0"/>
          <w:sz w:val="22"/>
          <w:szCs w:val="22"/>
          <w:u w:val="none"/>
          <w:lang w:val="en-US" w:eastAsia="zh-CN"/>
        </w:rPr>
      </w:pPr>
    </w:p>
    <w:p>
      <w:pPr>
        <w:pStyle w:val="15"/>
        <w:rPr>
          <w:rFonts w:ascii="宋体" w:eastAsia="宋体" w:cs="宋体" w:hint="eastAsia"/>
          <w:i w:val="0"/>
          <w:iCs w:val="0"/>
          <w:color w:val="000000"/>
          <w:kern w:val="0"/>
          <w:sz w:val="22"/>
          <w:szCs w:val="22"/>
          <w:u w:val="none"/>
          <w:lang w:val="en-US" w:eastAsia="zh-CN"/>
        </w:rPr>
      </w:pPr>
    </w:p>
    <w:p>
      <w:pPr>
        <w:pStyle w:val="15"/>
        <w:rPr>
          <w:rFonts w:ascii="宋体" w:eastAsia="宋体" w:cs="宋体" w:hint="eastAsia"/>
          <w:i w:val="0"/>
          <w:iCs w:val="0"/>
          <w:color w:val="000000"/>
          <w:kern w:val="0"/>
          <w:sz w:val="22"/>
          <w:szCs w:val="22"/>
          <w:u w:val="none"/>
          <w:lang w:val="en-US" w:eastAsia="zh-CN"/>
        </w:rPr>
      </w:pPr>
    </w:p>
    <w:p>
      <w:pPr>
        <w:pStyle w:val="15"/>
        <w:rPr>
          <w:rFonts w:ascii="宋体" w:eastAsia="宋体" w:cs="宋体" w:hint="eastAsia"/>
          <w:i w:val="0"/>
          <w:iCs w:val="0"/>
          <w:color w:val="000000"/>
          <w:kern w:val="0"/>
          <w:sz w:val="22"/>
          <w:szCs w:val="22"/>
          <w:u w:val="none"/>
          <w:lang w:val="en-US" w:eastAsia="zh-CN"/>
        </w:rPr>
      </w:pPr>
    </w:p>
    <w:p>
      <w:pPr>
        <w:pStyle w:val="15"/>
        <w:rPr>
          <w:rFonts w:ascii="宋体" w:eastAsia="宋体" w:cs="宋体" w:hint="eastAsia"/>
          <w:i w:val="0"/>
          <w:iCs w:val="0"/>
          <w:color w:val="000000"/>
          <w:kern w:val="0"/>
          <w:sz w:val="22"/>
          <w:szCs w:val="22"/>
          <w:u w:val="none"/>
          <w:lang w:val="en-US" w:eastAsia="zh-CN"/>
        </w:rPr>
      </w:pPr>
    </w:p>
    <w:p>
      <w:pPr>
        <w:pStyle w:val="15"/>
        <w:ind w:firstLineChars="100" w:firstLine="280"/>
        <w:jc w:val="left"/>
        <w:rPr>
          <w:rFonts w:ascii="宋体" w:eastAsia="宋体" w:cs="宋体" w:hint="eastAsia"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ascii="宋体" w:eastAsia="宋体" w:cs="宋体" w:hint="eastAsia"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  <w:t xml:space="preserve">附件 </w:t>
      </w:r>
    </w:p>
    <w:p>
      <w:pPr>
        <w:pStyle w:val="15"/>
        <w:ind w:firstLineChars="100" w:firstLine="280"/>
        <w:jc w:val="center"/>
        <w:rPr>
          <w:rFonts w:asci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ascii="宋体" w:eastAsia="宋体" w:cs="宋体" w:hint="eastAsia"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  <w:t>实验室门禁系统维修升级</w:t>
      </w:r>
      <w:r>
        <w:rPr>
          <w:rFonts w:ascii="宋体" w:cs="宋体" w:hint="eastAsia"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  <w:t>项目清单</w:t>
      </w:r>
    </w:p>
    <w:tbl>
      <w:tblPr>
        <w:jc w:val="left"/>
        <w:tblInd w:w="93" w:type="dxa"/>
        <w:tblW w:w="9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318"/>
        <w:gridCol w:w="4890"/>
        <w:gridCol w:w="1050"/>
        <w:gridCol w:w="1101"/>
      </w:tblGrid>
      <w:tr>
        <w:trPr>
          <w:trHeight w:val="270"/>
        </w:trPr>
        <w:tc>
          <w:tcPr>
            <w:tcW w:w="8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489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项目特征描述</w:t>
            </w:r>
          </w:p>
        </w:tc>
        <w:tc>
          <w:tcPr>
            <w:tcW w:w="105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计量单位</w:t>
            </w:r>
          </w:p>
        </w:tc>
        <w:tc>
          <w:tcPr>
            <w:tcW w:w="11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工程量</w:t>
            </w:r>
          </w:p>
        </w:tc>
      </w:tr>
      <w:tr>
        <w:trPr>
          <w:trHeight w:val="540"/>
        </w:trPr>
        <w:tc>
          <w:tcPr>
            <w:tcW w:w="88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131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489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105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/>
        </w:tc>
        <w:tc>
          <w:tcPr>
            <w:tcW w:w="110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/>
        </w:tc>
      </w:tr>
      <w:tr>
        <w:trPr>
          <w:trHeight w:val="336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门禁控制器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1.名称:四门门禁控制器</w:t>
              <w:br/>
              <w:t xml:space="preserve">2.规格:数据存储能力：高性能ARM芯片中央处理器，植入Linux操作系统 ，具备超大容量数据存储能力； </w:t>
              <w:br/>
              <w:t xml:space="preserve">3.处理能力：标准10/100M以太网通信接口，快速处理复杂应用； </w:t>
              <w:br/>
              <w:t xml:space="preserve">4.运维效率：支持软件端、Web端、平台端三种方式运维，方便快捷； </w:t>
              <w:br/>
              <w:t>5.开门控制方式：支持刷卡、个人密码、卡+密码、公共密码、胁迫密码、 按钮开门、远程开门、人脸开门、APP开门、动态密码开门等多种开门方式；</w:t>
              <w:br/>
              <w:t>6.记录容量：10万条；有效卡数量：10万条；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12</w:t>
            </w:r>
          </w:p>
        </w:tc>
      </w:tr>
      <w:tr>
        <w:trPr>
          <w:trHeight w:val="220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读卡器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1.名称:读卡器</w:t>
              <w:br/>
              <w:t>2.规格:1、防护等级：IP65防护等级，室内室外皆可应用2、鉴权凭证多元化：支持刷卡、手机蓝牙、密码等多种鉴权通行方式；3、开门控制方式：IC卡、CPU卡、按钮开门识别、APP远程开门等多种开 ；4、通讯接口： RS485、Wiegand34/42；</w:t>
              <w:br/>
              <w:t>3.满足施工图设计，设计规范，国家现行施工验收规范等相关要求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36</w:t>
            </w:r>
          </w:p>
        </w:tc>
      </w:tr>
      <w:tr>
        <w:trPr>
          <w:trHeight w:val="198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磁力锁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1.名称:磁力锁</w:t>
              <w:br/>
              <w:t>2.规格:单门磁力锁：工作电压:DC12V，工作电流:500mA/250mA，承受拉力:280KG</w:t>
              <w:br/>
              <w:t>3.适用范围:木门、玻璃门、金属门、防盗门</w:t>
              <w:br/>
              <w:t>4.产品尺寸:253*25*48</w:t>
              <w:br/>
              <w:t>5.开门类型:断电开门</w:t>
              <w:br/>
              <w:t>6.满足施工图设计，设计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36</w:t>
            </w:r>
          </w:p>
        </w:tc>
      </w:tr>
      <w:tr>
        <w:trPr>
          <w:trHeight w:val="208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开门按钮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1.名称:开门按钮</w:t>
              <w:br/>
              <w:t xml:space="preserve">2.规格:供电方式：干接点信号控制 </w:t>
              <w:br/>
              <w:t xml:space="preserve">3.结构：PC阻燃材料和银合金触点，弹力持久、受力平稳 </w:t>
              <w:br/>
              <w:t xml:space="preserve">4.规格尺寸：86*86mm </w:t>
              <w:br/>
              <w:t>5.安装方式：86盒安装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36</w:t>
            </w:r>
          </w:p>
        </w:tc>
      </w:tr>
      <w:tr>
        <w:trPr>
          <w:trHeight w:val="138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电气配线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1.名称:信号控制线</w:t>
              <w:br/>
              <w:t>2.导线型号、材质、规格:ZR-RVV</w:t>
              <w:br/>
              <w:t>2.敷设部位或线制:管内及线槽敷设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800002BF" w:usb1="38CF7CFA" w:usb2="00000016" w:usb3="00000000" w:csb0="00040000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 w:val="0"/>
  <w:bordersDoNotSurroundFooter w:val="0"/>
  <w:trackRevisions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customStyle="1" w:styleId="15">
    <w:name w:val="样式 100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6">
    <w:name w:val="样式 6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7">
    <w:name w:val="样式 10 磅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</TotalTime>
  <Application>Yozo_Office</Application>
  <Pages>4</Pages>
  <Words>1335</Words>
  <Characters>1481</Characters>
  <Lines>121</Lines>
  <Paragraphs>72</Paragraphs>
  <CharactersWithSpaces>1511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阳光</dc:creator>
  <cp:lastModifiedBy>付玮</cp:lastModifiedBy>
  <cp:revision>1</cp:revision>
  <dcterms:created xsi:type="dcterms:W3CDTF">2026-09-18T07:46:00Z</dcterms:created>
  <dcterms:modified xsi:type="dcterms:W3CDTF">2026-09-18T13:31:34Z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629B69157D944414BF6BDF4F97D46725_11</vt:lpwstr>
  </property>
  <property fmtid="{D5CDD505-2E9C-101B-9397-08002B2CF9AE}" pid="4" name="KSOTemplateDocerSaveRecord">
    <vt:lpwstr>eyJoZGlkIjoiYWU5OGI4MmI0NzAwMTkzNjYzYTBhYzYyNWYzZTc0ZTkiLCJ1c2VySWQiOiI3NjY4NTA5MDcifQ==</vt:lpwstr>
  </property>
</Properties>
</file>