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left"/>
        <w:rPr>
          <w:rFonts w:ascii="方正黑体_GBK" w:eastAsia="方正黑体_GBK" w:cs="方正小标宋_GBK"/>
          <w:sz w:val="32"/>
          <w:szCs w:val="32"/>
        </w:rPr>
      </w:pPr>
      <w:r>
        <w:rPr>
          <w:rFonts w:ascii="方正黑体_GBK" w:eastAsia="方正黑体_GBK" w:cs="方正小标宋_GBK" w:hint="eastAsia"/>
          <w:sz w:val="32"/>
          <w:szCs w:val="32"/>
        </w:rPr>
        <w:t>附件</w:t>
      </w:r>
      <w:r>
        <w:rPr>
          <w:rFonts w:ascii="Times New Roman" w:eastAsia="方正黑体_GBK" w:cs="方正小标宋_GBK" w:hAnsi="Times New Roman"/>
          <w:sz w:val="32"/>
          <w:szCs w:val="32"/>
        </w:rPr>
        <w:t>1</w:t>
      </w:r>
      <w:bookmarkStart w:id="0" w:name="_GoBack"/>
      <w:bookmarkEnd w:id="0"/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比选采购需求书</w:t>
      </w: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7986"/>
      </w:tblGrid>
      <w:tr>
        <w:tc>
          <w:tcPr>
            <w:tcW w:w="852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eastAsia="方正仿宋_GBK" w:cs="方正仿宋_GBK" w:hAnsi="Times New Roman"/>
                <w:sz w:val="28"/>
                <w:szCs w:val="28"/>
              </w:rPr>
            </w:pPr>
            <w:r>
              <w:rPr>
                <w:rFonts w:ascii="Times New Roman" w:eastAsia="方正楷体_GBK" w:cs="方正楷体_GBK" w:hAnsi="Times New Roman" w:hint="eastAsia"/>
                <w:sz w:val="32"/>
                <w:szCs w:val="32"/>
              </w:rPr>
              <w:t>基础信息栏</w:t>
            </w:r>
          </w:p>
        </w:tc>
      </w:tr>
      <w:tr>
        <w:tc>
          <w:tcPr>
            <w:tcW w:w="167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eastAsia="方正仿宋_GBK" w:cs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cs="方正仿宋_GBK" w:hAnsi="Times New Roman" w:hint="eastAsia"/>
                <w:sz w:val="28"/>
                <w:szCs w:val="28"/>
              </w:rPr>
              <w:t>项目名称</w:t>
            </w:r>
          </w:p>
        </w:tc>
        <w:tc>
          <w:tcPr>
            <w:tcW w:w="685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二连海关赛乌素国际机场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口岸负压隔离留验设施排风维修</w:t>
            </w:r>
          </w:p>
          <w:p>
            <w:pPr>
              <w:spacing w:line="560" w:lineRule="exact"/>
              <w:jc w:val="center"/>
              <w:rPr>
                <w:rFonts w:ascii="Times New Roman" w:eastAsia="方正仿宋_GBK" w:cs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服务采购项目</w:t>
            </w:r>
          </w:p>
        </w:tc>
      </w:tr>
      <w:tr>
        <w:tc>
          <w:tcPr>
            <w:tcW w:w="167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eastAsia="方正仿宋_GBK" w:cs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cs="方正仿宋_GBK" w:hAnsi="Times New Roman" w:hint="eastAsia"/>
                <w:sz w:val="28"/>
                <w:szCs w:val="28"/>
              </w:rPr>
              <w:t>采购预算</w:t>
            </w:r>
          </w:p>
        </w:tc>
        <w:tc>
          <w:tcPr>
            <w:tcW w:w="685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eastAsia="方正仿宋_GBK" w:cs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cs="方正仿宋_GBK" w:hAnsi="Times New Roman"/>
                <w:sz w:val="28"/>
                <w:szCs w:val="28"/>
              </w:rPr>
              <w:t>280,000.00</w:t>
            </w:r>
            <w:r>
              <w:rPr>
                <w:rFonts w:ascii="Times New Roman" w:eastAsia="方正仿宋_GBK" w:cs="方正仿宋_GBK" w:hAnsi="Times New Roman" w:hint="eastAsia"/>
                <w:sz w:val="28"/>
                <w:szCs w:val="28"/>
              </w:rPr>
              <w:t>元</w:t>
            </w:r>
          </w:p>
        </w:tc>
      </w:tr>
      <w:tr>
        <w:tc>
          <w:tcPr>
            <w:tcW w:w="167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eastAsia="方正仿宋_GBK" w:cs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cs="方正仿宋_GBK" w:hAnsi="Times New Roman" w:hint="eastAsia"/>
                <w:sz w:val="28"/>
                <w:szCs w:val="28"/>
              </w:rPr>
              <w:t>评审方法</w:t>
            </w:r>
          </w:p>
        </w:tc>
        <w:tc>
          <w:tcPr>
            <w:tcW w:w="6852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eastAsia="方正仿宋_GBK" w:cs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cs="方正仿宋_GBK" w:hAnsi="Times New Roman" w:hint="eastAsia"/>
                <w:sz w:val="28"/>
                <w:szCs w:val="28"/>
              </w:rPr>
              <w:sym w:font="Wingdings 2" w:char="A3"/>
            </w:r>
            <w:r>
              <w:rPr>
                <w:rFonts w:ascii="Times New Roman" w:eastAsia="方正仿宋_GBK" w:cs="方正仿宋_GBK" w:hAnsi="Times New Roman" w:hint="eastAsia"/>
                <w:sz w:val="28"/>
                <w:szCs w:val="28"/>
              </w:rPr>
              <w:t>最低价法</w:t>
            </w:r>
          </w:p>
          <w:p>
            <w:pPr>
              <w:spacing w:line="400" w:lineRule="exact"/>
              <w:jc w:val="left"/>
              <w:rPr>
                <w:rFonts w:ascii="Times New Roman" w:eastAsia="方正仿宋_GBK" w:cs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cs="方正仿宋_GBK" w:hAnsi="Times New Roman" w:hint="eastAsia"/>
                <w:sz w:val="28"/>
                <w:szCs w:val="28"/>
              </w:rPr>
              <w:sym w:font="Wingdings 2" w:char="52"/>
            </w:r>
            <w:r>
              <w:rPr>
                <w:rFonts w:ascii="Times New Roman" w:eastAsia="方正仿宋_GBK" w:cs="方正仿宋_GBK" w:hAnsi="Times New Roman" w:hint="eastAsia"/>
                <w:sz w:val="28"/>
                <w:szCs w:val="28"/>
              </w:rPr>
              <w:t>综合评分法</w:t>
            </w:r>
          </w:p>
        </w:tc>
      </w:tr>
      <w:tr>
        <w:tc>
          <w:tcPr>
            <w:tcW w:w="852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eastAsia="方正仿宋_GBK" w:cs="方正仿宋_GBK" w:hAnsi="Times New Roman"/>
                <w:sz w:val="28"/>
                <w:szCs w:val="28"/>
              </w:rPr>
            </w:pPr>
            <w:r>
              <w:rPr>
                <w:rFonts w:ascii="Times New Roman" w:eastAsia="方正楷体_GBK" w:cs="方正楷体_GBK" w:hAnsi="Times New Roman" w:hint="eastAsia"/>
                <w:sz w:val="32"/>
                <w:szCs w:val="32"/>
              </w:rPr>
              <w:t>详细需求栏</w:t>
            </w:r>
          </w:p>
        </w:tc>
      </w:tr>
      <w:tr>
        <w:trPr>
          <w:trHeight w:val="1551"/>
        </w:trPr>
        <w:tc>
          <w:tcPr>
            <w:tcW w:w="167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eastAsia="方正仿宋_GBK" w:cs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cs="方正仿宋_GBK" w:hAnsi="Times New Roman" w:hint="eastAsia"/>
                <w:sz w:val="28"/>
                <w:szCs w:val="28"/>
              </w:rPr>
              <w:t>说明</w:t>
            </w:r>
          </w:p>
        </w:tc>
        <w:tc>
          <w:tcPr>
            <w:tcW w:w="6852" w:type="dxa"/>
            <w:vAlign w:val="center"/>
          </w:tcPr>
          <w:p>
            <w:pPr>
              <w:spacing w:line="560" w:lineRule="exact"/>
              <w:ind w:firstLineChars="200" w:firstLine="560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1.不满足资格条件的响应文件将按无效响应文件处理。</w:t>
            </w:r>
          </w:p>
          <w:p>
            <w:pPr>
              <w:spacing w:line="560" w:lineRule="exact"/>
              <w:ind w:firstLineChars="200" w:firstLine="560"/>
              <w:rPr>
                <w:rFonts w:ascii="Times New Roman" w:eastAsia="方正仿宋_GBK" w:cs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eastAsia="方正仿宋_GBK" w:cs="方正仿宋_GBK" w:hAnsi="Times New Roman" w:hint="eastAsia"/>
                <w:sz w:val="28"/>
                <w:szCs w:val="28"/>
              </w:rPr>
              <w:t>详细需求栏中所有加“★”项的需求均为实质性要求，不满足实质性要求的响应文件将按无效响应文件处理。</w:t>
            </w:r>
          </w:p>
        </w:tc>
      </w:tr>
      <w:tr>
        <w:trPr>
          <w:trHeight w:val="2337"/>
        </w:trPr>
        <w:tc>
          <w:tcPr>
            <w:tcW w:w="167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eastAsia="方正仿宋_GBK" w:cs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cs="方正仿宋_GBK" w:hAnsi="Times New Roman"/>
                <w:sz w:val="28"/>
                <w:szCs w:val="28"/>
              </w:rPr>
              <w:t>设计依据与执行标准</w:t>
            </w:r>
          </w:p>
        </w:tc>
        <w:tc>
          <w:tcPr>
            <w:tcW w:w="6852" w:type="dxa"/>
          </w:tcPr>
          <w:p>
            <w:pPr>
              <w:pStyle w:val="152"/>
              <w:spacing w:line="360" w:lineRule="auto"/>
              <w:ind w:firstLineChars="200" w:firstLine="560"/>
              <w:rPr>
                <w:rFonts w:ascii="Times New Roman" w:eastAsia="方正仿宋_GBK" w:cs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cs="方正仿宋_GBK" w:hAnsi="Times New Roman" w:hint="eastAsia"/>
                <w:sz w:val="28"/>
                <w:szCs w:val="28"/>
              </w:rPr>
              <w:t>本方案严格遵循以下国家标准与行业规范：</w:t>
            </w:r>
          </w:p>
          <w:tbl>
            <w:tblPr>
              <w:jc w:val="left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694"/>
              <w:gridCol w:w="2377"/>
              <w:gridCol w:w="4694"/>
            </w:tblGrid>
            <w:tr>
              <w:trPr>
                <w:cantSplit/>
              </w:trPr>
              <w:tc>
                <w:tcPr>
                  <w:tcW w:w="742" w:type="dxa"/>
                  <w:tcBorders>
                    <w:top w:val="single" w:sz="2" w:space="0" w:color="D3DAE6"/>
                    <w:left w:val="single" w:sz="2" w:space="0" w:color="D3DAE6"/>
                    <w:bottom w:val="single" w:sz="2" w:space="0" w:color="D3DAE6"/>
                    <w:right w:val="single" w:sz="2" w:space="0" w:color="D3DAE6"/>
                  </w:tcBorders>
                  <w:shd w:val="clear" w:color="auto" w:fill="0D6E8E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>
                  <w:pPr>
                    <w:pStyle w:val="152"/>
                    <w:spacing w:line="360" w:lineRule="auto"/>
                    <w:jc w:val="center"/>
                  </w:pP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>序号</w:t>
                  </w:r>
                </w:p>
              </w:tc>
              <w:tc>
                <w:tcPr>
                  <w:tcW w:w="2542" w:type="dxa"/>
                  <w:tcBorders>
                    <w:top w:val="single" w:sz="2" w:space="0" w:color="D3DAE6"/>
                    <w:left w:val="single" w:sz="2" w:space="0" w:color="D3DAE6"/>
                    <w:bottom w:val="single" w:sz="2" w:space="0" w:color="D3DAE6"/>
                    <w:right w:val="single" w:sz="2" w:space="0" w:color="D3DAE6"/>
                  </w:tcBorders>
                  <w:shd w:val="clear" w:color="auto" w:fill="0D6E8E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>
                  <w:pPr>
                    <w:pStyle w:val="152"/>
                    <w:spacing w:line="360" w:lineRule="auto"/>
                  </w:pP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>标准编号</w:t>
                  </w:r>
                </w:p>
              </w:tc>
              <w:tc>
                <w:tcPr>
                  <w:tcW w:w="5020" w:type="dxa"/>
                  <w:tcBorders>
                    <w:top w:val="single" w:sz="2" w:space="0" w:color="D3DAE6"/>
                    <w:left w:val="single" w:sz="2" w:space="0" w:color="D3DAE6"/>
                    <w:bottom w:val="single" w:sz="2" w:space="0" w:color="D3DAE6"/>
                    <w:right w:val="single" w:sz="2" w:space="0" w:color="D3DAE6"/>
                  </w:tcBorders>
                  <w:shd w:val="clear" w:color="auto" w:fill="0D6E8E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>
                  <w:pPr>
                    <w:pStyle w:val="152"/>
                    <w:spacing w:line="360" w:lineRule="auto"/>
                  </w:pP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>标准名称</w:t>
                  </w:r>
                </w:p>
              </w:tc>
            </w:tr>
            <w:tr>
              <w:trPr>
                <w:cantSplit/>
              </w:trPr>
              <w:tc>
                <w:tcPr>
                  <w:tcW w:w="742" w:type="dxa"/>
                  <w:tcBorders>
                    <w:top w:val="single" w:sz="2" w:space="0" w:color="D3DAE6"/>
                    <w:left w:val="single" w:sz="2" w:space="0" w:color="D3DAE6"/>
                    <w:bottom w:val="single" w:sz="2" w:space="0" w:color="D3DAE6"/>
                    <w:right w:val="single" w:sz="2" w:space="0" w:color="D3DAE6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>
                  <w:pPr>
                    <w:pStyle w:val="152"/>
                    <w:spacing w:line="360" w:lineRule="auto"/>
                    <w:jc w:val="center"/>
                  </w:pPr>
                  <w:r>
                    <w:rPr>
                      <w:rFonts w:ascii="Times New Roman" w:hAnsi="Times New Roman"/>
                      <w:color w:val="1A2744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2542" w:type="dxa"/>
                  <w:tcBorders>
                    <w:top w:val="single" w:sz="2" w:space="0" w:color="D3DAE6"/>
                    <w:left w:val="single" w:sz="2" w:space="0" w:color="D3DAE6"/>
                    <w:bottom w:val="single" w:sz="2" w:space="0" w:color="D3DAE6"/>
                    <w:right w:val="single" w:sz="2" w:space="0" w:color="D3DAE6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>
                  <w:pPr>
                    <w:pStyle w:val="152"/>
                    <w:spacing w:line="360" w:lineRule="auto"/>
                  </w:pPr>
                  <w:r>
                    <w:rPr>
                      <w:rFonts w:ascii="Times New Roman" w:hAnsi="Times New Roman"/>
                      <w:color w:val="1A2744"/>
                      <w:sz w:val="20"/>
                      <w:szCs w:val="20"/>
                    </w:rPr>
                    <w:t>GB50346</w:t>
                  </w:r>
                  <w:r>
                    <w:rPr>
                      <w:color w:val="1A2744"/>
                      <w:sz w:val="20"/>
                      <w:szCs w:val="20"/>
                    </w:rPr>
                    <w:t>—</w:t>
                  </w:r>
                  <w:r>
                    <w:rPr>
                      <w:rFonts w:ascii="Times New Roman" w:hAnsi="Times New Roman"/>
                      <w:color w:val="1A2744"/>
                      <w:sz w:val="20"/>
                      <w:szCs w:val="20"/>
                    </w:rPr>
                    <w:t>2016</w:t>
                  </w:r>
                </w:p>
              </w:tc>
              <w:tc>
                <w:tcPr>
                  <w:tcW w:w="5020" w:type="dxa"/>
                  <w:tcBorders>
                    <w:top w:val="single" w:sz="2" w:space="0" w:color="D3DAE6"/>
                    <w:left w:val="single" w:sz="2" w:space="0" w:color="D3DAE6"/>
                    <w:bottom w:val="single" w:sz="2" w:space="0" w:color="D3DAE6"/>
                    <w:right w:val="single" w:sz="2" w:space="0" w:color="D3DAE6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>
                  <w:pPr>
                    <w:pStyle w:val="152"/>
                    <w:spacing w:line="360" w:lineRule="auto"/>
                  </w:pPr>
                  <w:r>
                    <w:rPr>
                      <w:color w:val="1A2744"/>
                      <w:sz w:val="20"/>
                      <w:szCs w:val="20"/>
                    </w:rPr>
                    <w:t>《生物安全实验室建筑技术规范》</w:t>
                  </w:r>
                </w:p>
              </w:tc>
            </w:tr>
            <w:tr>
              <w:trPr>
                <w:cantSplit/>
              </w:trPr>
              <w:tc>
                <w:tcPr>
                  <w:tcW w:w="742" w:type="dxa"/>
                  <w:tcBorders>
                    <w:top w:val="single" w:sz="2" w:space="0" w:color="D3DAE6"/>
                    <w:left w:val="single" w:sz="2" w:space="0" w:color="D3DAE6"/>
                    <w:bottom w:val="single" w:sz="2" w:space="0" w:color="D3DAE6"/>
                    <w:right w:val="single" w:sz="2" w:space="0" w:color="D3DAE6"/>
                  </w:tcBorders>
                  <w:shd w:val="clear" w:color="auto" w:fill="F0F5F8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>
                  <w:pPr>
                    <w:pStyle w:val="152"/>
                    <w:spacing w:line="360" w:lineRule="auto"/>
                    <w:jc w:val="center"/>
                  </w:pPr>
                  <w:r>
                    <w:rPr>
                      <w:rFonts w:ascii="Times New Roman" w:hAnsi="Times New Roman"/>
                      <w:color w:val="1A2744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2542" w:type="dxa"/>
                  <w:tcBorders>
                    <w:top w:val="single" w:sz="2" w:space="0" w:color="D3DAE6"/>
                    <w:left w:val="single" w:sz="2" w:space="0" w:color="D3DAE6"/>
                    <w:bottom w:val="single" w:sz="2" w:space="0" w:color="D3DAE6"/>
                    <w:right w:val="single" w:sz="2" w:space="0" w:color="D3DAE6"/>
                  </w:tcBorders>
                  <w:shd w:val="clear" w:color="auto" w:fill="F0F5F8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>
                  <w:pPr>
                    <w:pStyle w:val="152"/>
                    <w:spacing w:line="360" w:lineRule="auto"/>
                  </w:pPr>
                  <w:r>
                    <w:rPr>
                      <w:rFonts w:ascii="Times New Roman" w:hAnsi="Times New Roman"/>
                      <w:color w:val="1A2744"/>
                      <w:sz w:val="20"/>
                      <w:szCs w:val="20"/>
                    </w:rPr>
                    <w:t>GB19489</w:t>
                  </w:r>
                  <w:r>
                    <w:rPr>
                      <w:color w:val="1A2744"/>
                      <w:sz w:val="20"/>
                      <w:szCs w:val="20"/>
                    </w:rPr>
                    <w:t>—</w:t>
                  </w:r>
                  <w:r>
                    <w:rPr>
                      <w:rFonts w:ascii="Times New Roman" w:hAnsi="Times New Roman"/>
                      <w:color w:val="1A2744"/>
                      <w:sz w:val="20"/>
                      <w:szCs w:val="20"/>
                    </w:rPr>
                    <w:t>2008</w:t>
                  </w:r>
                </w:p>
              </w:tc>
              <w:tc>
                <w:tcPr>
                  <w:tcW w:w="5020" w:type="dxa"/>
                  <w:tcBorders>
                    <w:top w:val="single" w:sz="2" w:space="0" w:color="D3DAE6"/>
                    <w:left w:val="single" w:sz="2" w:space="0" w:color="D3DAE6"/>
                    <w:bottom w:val="single" w:sz="2" w:space="0" w:color="D3DAE6"/>
                    <w:right w:val="single" w:sz="2" w:space="0" w:color="D3DAE6"/>
                  </w:tcBorders>
                  <w:shd w:val="clear" w:color="auto" w:fill="F0F5F8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>
                  <w:pPr>
                    <w:pStyle w:val="152"/>
                    <w:spacing w:line="360" w:lineRule="auto"/>
                  </w:pPr>
                  <w:r>
                    <w:rPr>
                      <w:color w:val="1A2744"/>
                      <w:sz w:val="20"/>
                      <w:szCs w:val="20"/>
                    </w:rPr>
                    <w:t>《实验室 生物安全通用要求》</w:t>
                  </w:r>
                </w:p>
              </w:tc>
            </w:tr>
            <w:tr>
              <w:trPr>
                <w:cantSplit/>
              </w:trPr>
              <w:tc>
                <w:tcPr>
                  <w:tcW w:w="742" w:type="dxa"/>
                  <w:tcBorders>
                    <w:top w:val="single" w:sz="2" w:space="0" w:color="D3DAE6"/>
                    <w:left w:val="single" w:sz="2" w:space="0" w:color="D3DAE6"/>
                    <w:bottom w:val="single" w:sz="2" w:space="0" w:color="D3DAE6"/>
                    <w:right w:val="single" w:sz="2" w:space="0" w:color="D3DAE6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>
                  <w:pPr>
                    <w:pStyle w:val="152"/>
                    <w:spacing w:line="360" w:lineRule="auto"/>
                    <w:jc w:val="center"/>
                  </w:pPr>
                  <w:r>
                    <w:rPr>
                      <w:rFonts w:ascii="Times New Roman" w:hAnsi="Times New Roman"/>
                      <w:color w:val="1A2744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2542" w:type="dxa"/>
                  <w:tcBorders>
                    <w:top w:val="single" w:sz="2" w:space="0" w:color="D3DAE6"/>
                    <w:left w:val="single" w:sz="2" w:space="0" w:color="D3DAE6"/>
                    <w:bottom w:val="single" w:sz="2" w:space="0" w:color="D3DAE6"/>
                    <w:right w:val="single" w:sz="2" w:space="0" w:color="D3DAE6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>
                  <w:pPr>
                    <w:pStyle w:val="152"/>
                    <w:spacing w:line="360" w:lineRule="auto"/>
                  </w:pPr>
                  <w:r>
                    <w:rPr>
                      <w:rFonts w:ascii="Times New Roman" w:hAnsi="Times New Roman" w:hint="eastAsia"/>
                    </w:rPr>
                    <w:t>SN</w:t>
                  </w:r>
                  <w:r>
                    <w:rPr>
                      <w:rFonts w:hint="eastAsia"/>
                    </w:rPr>
                    <w:t>/</w:t>
                  </w:r>
                  <w:r>
                    <w:rPr>
                      <w:rFonts w:ascii="Times New Roman" w:hAnsi="Times New Roman" w:hint="eastAsia"/>
                    </w:rPr>
                    <w:t>T5296-2021</w:t>
                  </w:r>
                </w:p>
              </w:tc>
              <w:tc>
                <w:tcPr>
                  <w:tcW w:w="5020" w:type="dxa"/>
                  <w:tcBorders>
                    <w:top w:val="single" w:sz="2" w:space="0" w:color="D3DAE6"/>
                    <w:left w:val="single" w:sz="2" w:space="0" w:color="D3DAE6"/>
                    <w:bottom w:val="single" w:sz="2" w:space="0" w:color="D3DAE6"/>
                    <w:right w:val="single" w:sz="2" w:space="0" w:color="D3DAE6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>
                  <w:pPr>
                    <w:pStyle w:val="152"/>
                    <w:spacing w:line="360" w:lineRule="auto"/>
                  </w:pPr>
                  <w:r>
                    <w:rPr>
                      <w:rFonts w:hint="eastAsia"/>
                    </w:rPr>
                    <w:t>《口岸负压隔离留验设施建设及配置指南》</w:t>
                  </w:r>
                </w:p>
              </w:tc>
            </w:tr>
            <w:tr>
              <w:trPr>
                <w:cantSplit/>
              </w:trPr>
              <w:tc>
                <w:tcPr>
                  <w:tcW w:w="742" w:type="dxa"/>
                  <w:tcBorders>
                    <w:top w:val="single" w:sz="2" w:space="0" w:color="D3DAE6"/>
                    <w:left w:val="single" w:sz="2" w:space="0" w:color="D3DAE6"/>
                    <w:bottom w:val="single" w:sz="2" w:space="0" w:color="D3DAE6"/>
                    <w:right w:val="single" w:sz="2" w:space="0" w:color="D3DAE6"/>
                  </w:tcBorders>
                  <w:shd w:val="clear" w:color="auto" w:fill="F0F5F8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>
                  <w:pPr>
                    <w:pStyle w:val="152"/>
                    <w:spacing w:line="360" w:lineRule="auto"/>
                    <w:jc w:val="center"/>
                  </w:pPr>
                  <w:r>
                    <w:rPr>
                      <w:rFonts w:ascii="Times New Roman" w:hAnsi="Times New Roman"/>
                      <w:color w:val="1A2744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2542" w:type="dxa"/>
                  <w:tcBorders>
                    <w:top w:val="single" w:sz="2" w:space="0" w:color="D3DAE6"/>
                    <w:left w:val="single" w:sz="2" w:space="0" w:color="D3DAE6"/>
                    <w:bottom w:val="single" w:sz="2" w:space="0" w:color="D3DAE6"/>
                    <w:right w:val="single" w:sz="2" w:space="0" w:color="D3DAE6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>
                  <w:pPr>
                    <w:pStyle w:val="152"/>
                    <w:spacing w:line="360" w:lineRule="auto"/>
                  </w:pPr>
                  <w:r>
                    <w:rPr>
                      <w:rFonts w:ascii="Times New Roman" w:hAnsi="Times New Roman"/>
                      <w:color w:val="1A2744"/>
                      <w:sz w:val="20"/>
                      <w:szCs w:val="20"/>
                    </w:rPr>
                    <w:t>GB50073</w:t>
                  </w:r>
                  <w:r>
                    <w:rPr>
                      <w:color w:val="1A2744"/>
                      <w:sz w:val="20"/>
                      <w:szCs w:val="20"/>
                    </w:rPr>
                    <w:t>—</w:t>
                  </w:r>
                  <w:r>
                    <w:rPr>
                      <w:rFonts w:ascii="Times New Roman" w:hAnsi="Times New Roman"/>
                      <w:color w:val="1A2744"/>
                      <w:sz w:val="20"/>
                      <w:szCs w:val="20"/>
                    </w:rPr>
                    <w:t>2013</w:t>
                  </w:r>
                </w:p>
              </w:tc>
              <w:tc>
                <w:tcPr>
                  <w:tcW w:w="5020" w:type="dxa"/>
                  <w:tcBorders>
                    <w:top w:val="single" w:sz="2" w:space="0" w:color="D3DAE6"/>
                    <w:left w:val="single" w:sz="2" w:space="0" w:color="D3DAE6"/>
                    <w:bottom w:val="single" w:sz="2" w:space="0" w:color="D3DAE6"/>
                    <w:right w:val="single" w:sz="2" w:space="0" w:color="D3DAE6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>
                  <w:pPr>
                    <w:pStyle w:val="152"/>
                    <w:spacing w:line="360" w:lineRule="auto"/>
                  </w:pPr>
                  <w:r>
                    <w:rPr>
                      <w:color w:val="1A2744"/>
                      <w:sz w:val="20"/>
                      <w:szCs w:val="20"/>
                    </w:rPr>
                    <w:t>《洁净厂房设计规范》</w:t>
                  </w:r>
                </w:p>
              </w:tc>
            </w:tr>
            <w:tr>
              <w:trPr>
                <w:cantSplit/>
              </w:trPr>
              <w:tc>
                <w:tcPr>
                  <w:tcW w:w="742" w:type="dxa"/>
                  <w:tcBorders>
                    <w:top w:val="single" w:sz="2" w:space="0" w:color="D3DAE6"/>
                    <w:left w:val="single" w:sz="2" w:space="0" w:color="D3DAE6"/>
                    <w:bottom w:val="single" w:sz="2" w:space="0" w:color="D3DAE6"/>
                    <w:right w:val="single" w:sz="2" w:space="0" w:color="D3DAE6"/>
                  </w:tcBorders>
                  <w:shd w:val="clear" w:color="auto" w:fill="F0F5F8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>
                  <w:pPr>
                    <w:pStyle w:val="152"/>
                    <w:spacing w:line="360" w:lineRule="auto"/>
                    <w:jc w:val="center"/>
                  </w:pPr>
                  <w:r>
                    <w:rPr>
                      <w:rFonts w:ascii="Times New Roman" w:hAnsi="Times New Roman" w:hint="eastAsia"/>
                      <w:color w:val="1A2744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2542" w:type="dxa"/>
                  <w:tcBorders>
                    <w:top w:val="single" w:sz="2" w:space="0" w:color="D3DAE6"/>
                    <w:left w:val="single" w:sz="2" w:space="0" w:color="D3DAE6"/>
                    <w:bottom w:val="single" w:sz="2" w:space="0" w:color="D3DAE6"/>
                    <w:right w:val="single" w:sz="2" w:space="0" w:color="D3DAE6"/>
                  </w:tcBorders>
                  <w:shd w:val="clear" w:color="auto" w:fill="F0F5F8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>
                  <w:pPr>
                    <w:pStyle w:val="152"/>
                    <w:spacing w:line="360" w:lineRule="auto"/>
                  </w:pPr>
                  <w:r>
                    <w:rPr>
                      <w:rFonts w:ascii="Times New Roman" w:hAnsi="Times New Roman"/>
                      <w:color w:val="1A2744"/>
                      <w:sz w:val="20"/>
                      <w:szCs w:val="20"/>
                    </w:rPr>
                    <w:t>YY</w:t>
                  </w:r>
                  <w:r>
                    <w:rPr>
                      <w:color w:val="1A2744"/>
                      <w:sz w:val="20"/>
                      <w:szCs w:val="20"/>
                    </w:rPr>
                    <w:t>/</w:t>
                  </w:r>
                  <w:r>
                    <w:rPr>
                      <w:rFonts w:ascii="Times New Roman" w:hAnsi="Times New Roman"/>
                      <w:color w:val="1A2744"/>
                      <w:sz w:val="20"/>
                      <w:szCs w:val="20"/>
                    </w:rPr>
                    <w:t>T0569</w:t>
                  </w:r>
                  <w:r>
                    <w:rPr>
                      <w:color w:val="1A2744"/>
                      <w:sz w:val="20"/>
                      <w:szCs w:val="20"/>
                    </w:rPr>
                    <w:t>—</w:t>
                  </w:r>
                  <w:r>
                    <w:rPr>
                      <w:rFonts w:ascii="Times New Roman" w:hAnsi="Times New Roman"/>
                      <w:color w:val="1A2744"/>
                      <w:sz w:val="20"/>
                      <w:szCs w:val="20"/>
                    </w:rPr>
                    <w:t>2017</w:t>
                  </w:r>
                </w:p>
              </w:tc>
              <w:tc>
                <w:tcPr>
                  <w:tcW w:w="5020" w:type="dxa"/>
                  <w:tcBorders>
                    <w:top w:val="single" w:sz="2" w:space="0" w:color="D3DAE6"/>
                    <w:left w:val="single" w:sz="2" w:space="0" w:color="D3DAE6"/>
                    <w:bottom w:val="single" w:sz="2" w:space="0" w:color="D3DAE6"/>
                    <w:right w:val="single" w:sz="2" w:space="0" w:color="D3DAE6"/>
                  </w:tcBorders>
                  <w:shd w:val="clear" w:color="auto" w:fill="F0F5F8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>
                  <w:pPr>
                    <w:pStyle w:val="152"/>
                    <w:spacing w:line="360" w:lineRule="auto"/>
                  </w:pPr>
                  <w:r>
                    <w:rPr>
                      <w:color w:val="1A2744"/>
                      <w:sz w:val="20"/>
                      <w:szCs w:val="20"/>
                    </w:rPr>
                    <w:t>《负压隔离病房建设基本要求》</w:t>
                  </w:r>
                </w:p>
              </w:tc>
            </w:tr>
          </w:tbl>
          <w:p>
            <w:pPr>
              <w:spacing w:line="560" w:lineRule="exact"/>
              <w:rPr>
                <w:rFonts w:ascii="Times New Roman" w:eastAsia="方正仿宋_GBK" w:cs="方正仿宋_GBK" w:hAnsi="Times New Roman"/>
                <w:sz w:val="28"/>
                <w:szCs w:val="28"/>
              </w:rPr>
            </w:pPr>
          </w:p>
        </w:tc>
      </w:tr>
      <w:tr>
        <w:trPr>
          <w:trHeight w:val="4045"/>
        </w:trPr>
        <w:tc>
          <w:tcPr>
            <w:tcW w:w="1670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★</w:t>
            </w:r>
            <w:r>
              <w:rPr>
                <w:rStyle w:val="150Char"/>
                <w:rFonts w:ascii="方正仿宋_GBK" w:eastAsia="方正仿宋_GBK" w:cs="方正仿宋_GBK"/>
                <w:sz w:val="32"/>
                <w:szCs w:val="32"/>
              </w:rPr>
              <w:t>总体技术要求</w:t>
            </w:r>
          </w:p>
        </w:tc>
        <w:tc>
          <w:tcPr>
            <w:tcW w:w="6852" w:type="dxa"/>
          </w:tcPr>
          <w:p>
            <w:pPr>
              <w:pStyle w:val="62"/>
              <w:spacing w:line="360" w:lineRule="auto"/>
              <w:ind w:left="0" w:firstLineChars="200" w:firstLine="640"/>
              <w:rPr>
                <w:rFonts w:ascii="宋体" w:eastAsia="宋体"/>
                <w:sz w:val="24"/>
                <w:szCs w:val="24"/>
              </w:rPr>
            </w:pPr>
            <w:r>
              <w:rPr>
                <w:rStyle w:val="150Char"/>
                <w:rFonts w:ascii="方正仿宋_GBK" w:eastAsia="方正仿宋_GBK" w:cs="方正仿宋_GBK" w:hint="eastAsia"/>
                <w:sz w:val="32"/>
                <w:szCs w:val="32"/>
              </w:rPr>
              <w:t>本项目为口岸负压隔离留验设施排风系统维修项目，包括但不限于：</w:t>
            </w:r>
          </w:p>
          <w:p>
            <w:pPr>
              <w:pStyle w:val="149"/>
              <w:spacing w:line="560" w:lineRule="exact"/>
              <w:ind w:left="0" w:firstLineChars="200" w:firstLine="640"/>
              <w:rPr>
                <w:rStyle w:val="150Char"/>
                <w:rFonts w:ascii="方正仿宋_GBK" w:eastAsia="方正仿宋_GBK" w:cs="方正仿宋_GBK"/>
                <w:sz w:val="32"/>
                <w:szCs w:val="32"/>
              </w:rPr>
            </w:pPr>
            <w:r>
              <w:rPr>
                <w:rStyle w:val="150Char"/>
                <w:rFonts w:ascii="Times New Roman" w:eastAsia="方正仿宋_GBK" w:cs="方正仿宋_GBK" w:hAnsi="Times New Roman"/>
                <w:sz w:val="32"/>
                <w:szCs w:val="32"/>
              </w:rPr>
              <w:t>1.</w:t>
            </w:r>
            <w:r>
              <w:rPr>
                <w:rStyle w:val="150Char"/>
                <w:rFonts w:ascii="方正仿宋_GBK" w:eastAsia="方正仿宋_GBK" w:cs="方正仿宋_GBK" w:hint="eastAsia"/>
                <w:sz w:val="32"/>
                <w:szCs w:val="32"/>
              </w:rPr>
              <w:t>拆除原排风系统中排风管道、排风机箱、回风柱、排风</w:t>
            </w:r>
            <w:r>
              <w:rPr>
                <w:rStyle w:val="150Char"/>
                <w:rFonts w:ascii="方正仿宋_GBK" w:eastAsia="方正仿宋_GBK" w:cs="方正仿宋_GBK"/>
                <w:sz w:val="32"/>
                <w:szCs w:val="32"/>
              </w:rPr>
              <w:t>百</w:t>
            </w:r>
            <w:r>
              <w:rPr>
                <w:rStyle w:val="150Char"/>
                <w:rFonts w:ascii="方正仿宋_GBK" w:eastAsia="方正仿宋_GBK" w:cs="方正仿宋_GBK" w:hint="eastAsia"/>
                <w:sz w:val="32"/>
                <w:szCs w:val="32"/>
              </w:rPr>
              <w:t>叶及电气等；</w:t>
            </w:r>
          </w:p>
          <w:p>
            <w:pPr>
              <w:pStyle w:val="149"/>
              <w:spacing w:line="560" w:lineRule="exact"/>
              <w:ind w:left="0" w:firstLineChars="200" w:firstLine="640"/>
              <w:rPr>
                <w:rStyle w:val="150Char"/>
                <w:rFonts w:ascii="方正仿宋_GBK" w:eastAsia="方正仿宋_GBK" w:cs="方正仿宋_GBK"/>
                <w:sz w:val="32"/>
                <w:szCs w:val="32"/>
              </w:rPr>
            </w:pPr>
            <w:r>
              <w:rPr>
                <w:rStyle w:val="150Char"/>
                <w:rFonts w:ascii="Times New Roman" w:eastAsia="方正仿宋_GBK" w:cs="方正仿宋_GBK" w:hAnsi="Times New Roman"/>
                <w:sz w:val="32"/>
                <w:szCs w:val="32"/>
              </w:rPr>
              <w:t>2.</w:t>
            </w:r>
            <w:r>
              <w:rPr>
                <w:rStyle w:val="150Char"/>
                <w:rFonts w:ascii="方正仿宋_GBK" w:eastAsia="方正仿宋_GBK" w:cs="方正仿宋_GBK" w:hint="eastAsia"/>
                <w:sz w:val="32"/>
                <w:szCs w:val="32"/>
              </w:rPr>
              <w:t>排风管道及管件；</w:t>
            </w:r>
          </w:p>
          <w:p>
            <w:pPr>
              <w:pStyle w:val="149"/>
              <w:spacing w:line="560" w:lineRule="exact"/>
              <w:ind w:left="0" w:firstLineChars="200" w:firstLine="640"/>
              <w:rPr>
                <w:rStyle w:val="150Char"/>
                <w:rFonts w:ascii="方正仿宋_GBK" w:eastAsia="方正仿宋_GBK" w:cs="方正仿宋_GBK"/>
                <w:sz w:val="32"/>
                <w:szCs w:val="32"/>
              </w:rPr>
            </w:pPr>
            <w:r>
              <w:rPr>
                <w:rStyle w:val="150Char"/>
                <w:rFonts w:ascii="Times New Roman" w:eastAsia="方正仿宋_GBK" w:cs="方正仿宋_GBK" w:hAnsi="Times New Roman"/>
                <w:sz w:val="32"/>
                <w:szCs w:val="32"/>
              </w:rPr>
              <w:t>3.</w:t>
            </w:r>
            <w:r>
              <w:rPr>
                <w:rStyle w:val="150Char"/>
                <w:rFonts w:ascii="方正仿宋_GBK" w:eastAsia="方正仿宋_GBK" w:cs="方正仿宋_GBK" w:hint="eastAsia"/>
                <w:sz w:val="32"/>
                <w:szCs w:val="32"/>
              </w:rPr>
              <w:t>排风机组；</w:t>
            </w:r>
          </w:p>
          <w:p>
            <w:pPr>
              <w:pStyle w:val="149"/>
              <w:spacing w:line="560" w:lineRule="exact"/>
              <w:ind w:left="0" w:firstLineChars="200" w:firstLine="640"/>
              <w:rPr>
                <w:rStyle w:val="150Char"/>
                <w:rFonts w:ascii="方正仿宋_GBK" w:eastAsia="方正仿宋_GBK" w:cs="方正仿宋_GBK"/>
                <w:sz w:val="32"/>
                <w:szCs w:val="32"/>
              </w:rPr>
            </w:pPr>
            <w:r>
              <w:rPr>
                <w:rStyle w:val="150Char"/>
                <w:rFonts w:ascii="Times New Roman" w:eastAsia="方正仿宋_GBK" w:cs="方正仿宋_GBK" w:hAnsi="Times New Roman"/>
                <w:sz w:val="32"/>
                <w:szCs w:val="32"/>
              </w:rPr>
              <w:t>4.</w:t>
            </w:r>
            <w:r>
              <w:rPr>
                <w:rStyle w:val="150Char"/>
                <w:rFonts w:ascii="方正仿宋_GBK" w:eastAsia="方正仿宋_GBK" w:cs="方正仿宋_GBK" w:hint="eastAsia"/>
                <w:sz w:val="32"/>
                <w:szCs w:val="32"/>
              </w:rPr>
              <w:t>排风高效过滤装置；</w:t>
            </w:r>
          </w:p>
          <w:p>
            <w:pPr>
              <w:pStyle w:val="149"/>
              <w:spacing w:line="560" w:lineRule="exact"/>
              <w:ind w:left="0" w:firstLineChars="200" w:firstLine="640"/>
              <w:rPr>
                <w:rStyle w:val="150Char"/>
                <w:rFonts w:ascii="方正仿宋_GBK" w:eastAsia="方正仿宋_GBK" w:cs="方正仿宋_GBK"/>
                <w:sz w:val="32"/>
                <w:szCs w:val="32"/>
              </w:rPr>
            </w:pPr>
            <w:r>
              <w:rPr>
                <w:rStyle w:val="150Char"/>
                <w:rFonts w:ascii="Times New Roman" w:eastAsia="方正仿宋_GBK" w:cs="方正仿宋_GBK" w:hAnsi="Times New Roman"/>
                <w:sz w:val="32"/>
                <w:szCs w:val="32"/>
              </w:rPr>
              <w:t>5.</w:t>
            </w:r>
            <w:r>
              <w:rPr>
                <w:rStyle w:val="150Char"/>
                <w:rFonts w:ascii="方正仿宋_GBK" w:eastAsia="方正仿宋_GBK" w:cs="方正仿宋_GBK" w:hint="eastAsia"/>
                <w:sz w:val="32"/>
                <w:szCs w:val="32"/>
              </w:rPr>
              <w:t>生物安全电动密闭阀；</w:t>
            </w:r>
          </w:p>
          <w:p>
            <w:pPr>
              <w:pStyle w:val="149"/>
              <w:spacing w:line="560" w:lineRule="exact"/>
              <w:ind w:left="0" w:firstLineChars="200" w:firstLine="640"/>
              <w:rPr>
                <w:rStyle w:val="150Char"/>
                <w:rFonts w:ascii="方正仿宋_GBK" w:eastAsia="方正仿宋_GBK" w:cs="方正仿宋_GBK"/>
                <w:sz w:val="32"/>
                <w:szCs w:val="32"/>
              </w:rPr>
            </w:pPr>
            <w:r>
              <w:rPr>
                <w:rStyle w:val="150Char"/>
                <w:rFonts w:ascii="Times New Roman" w:eastAsia="方正仿宋_GBK" w:cs="方正仿宋_GBK" w:hAnsi="Times New Roman"/>
                <w:sz w:val="32"/>
                <w:szCs w:val="32"/>
              </w:rPr>
              <w:t>6.</w:t>
            </w:r>
            <w:r>
              <w:rPr>
                <w:rStyle w:val="150Char"/>
                <w:rFonts w:ascii="方正仿宋_GBK" w:eastAsia="方正仿宋_GBK" w:cs="方正仿宋_GBK" w:hint="eastAsia"/>
                <w:sz w:val="32"/>
                <w:szCs w:val="32"/>
              </w:rPr>
              <w:t>压差传感器；</w:t>
            </w:r>
          </w:p>
          <w:p>
            <w:pPr>
              <w:pStyle w:val="149"/>
              <w:spacing w:line="560" w:lineRule="exact"/>
              <w:ind w:left="0" w:firstLineChars="200" w:firstLine="640"/>
              <w:rPr>
                <w:rStyle w:val="150Char"/>
                <w:rFonts w:ascii="方正仿宋_GBK" w:eastAsia="方正仿宋_GBK" w:cs="方正仿宋_GBK"/>
                <w:sz w:val="32"/>
                <w:szCs w:val="32"/>
              </w:rPr>
            </w:pPr>
            <w:r>
              <w:rPr>
                <w:rStyle w:val="150Char"/>
                <w:rFonts w:ascii="Times New Roman" w:eastAsia="方正仿宋_GBK" w:cs="方正仿宋_GBK" w:hAnsi="Times New Roman"/>
                <w:sz w:val="32"/>
                <w:szCs w:val="32"/>
              </w:rPr>
              <w:t>7.</w:t>
            </w:r>
            <w:r>
              <w:rPr>
                <w:rStyle w:val="150Char"/>
                <w:rFonts w:ascii="方正仿宋_GBK" w:eastAsia="方正仿宋_GBK" w:cs="方正仿宋_GBK" w:hint="eastAsia"/>
                <w:sz w:val="32"/>
                <w:szCs w:val="32"/>
              </w:rPr>
              <w:t>温湿度传感器；</w:t>
            </w:r>
          </w:p>
          <w:p>
            <w:pPr>
              <w:pStyle w:val="149"/>
              <w:spacing w:line="560" w:lineRule="exact"/>
              <w:ind w:left="0" w:firstLineChars="200" w:firstLine="640"/>
              <w:rPr>
                <w:rStyle w:val="150Char"/>
                <w:rFonts w:ascii="方正仿宋_GBK" w:eastAsia="方正仿宋_GBK" w:cs="方正仿宋_GBK"/>
                <w:sz w:val="32"/>
                <w:szCs w:val="32"/>
              </w:rPr>
            </w:pPr>
            <w:r>
              <w:rPr>
                <w:rStyle w:val="150Char"/>
                <w:rFonts w:ascii="Times New Roman" w:eastAsia="方正仿宋_GBK" w:cs="方正仿宋_GBK" w:hAnsi="Times New Roman"/>
                <w:sz w:val="32"/>
                <w:szCs w:val="32"/>
              </w:rPr>
              <w:t>8.</w:t>
            </w:r>
            <w:r>
              <w:rPr>
                <w:rStyle w:val="150Char"/>
                <w:rFonts w:ascii="方正仿宋_GBK" w:eastAsia="方正仿宋_GBK" w:cs="方正仿宋_GBK" w:hint="eastAsia"/>
                <w:sz w:val="32"/>
                <w:szCs w:val="32"/>
              </w:rPr>
              <w:t>自控系统；</w:t>
            </w:r>
          </w:p>
          <w:p>
            <w:pPr>
              <w:pStyle w:val="149"/>
              <w:spacing w:line="560" w:lineRule="exact"/>
              <w:ind w:left="0" w:firstLineChars="200" w:firstLine="640"/>
              <w:rPr>
                <w:rStyle w:val="150Char"/>
                <w:rFonts w:ascii="方正仿宋_GBK" w:eastAsia="方正仿宋_GBK" w:cs="方正仿宋_GBK"/>
                <w:sz w:val="32"/>
                <w:szCs w:val="32"/>
              </w:rPr>
            </w:pPr>
            <w:r>
              <w:rPr>
                <w:rStyle w:val="150Char"/>
                <w:rFonts w:ascii="Times New Roman" w:eastAsia="方正仿宋_GBK" w:cs="方正仿宋_GBK" w:hAnsi="Times New Roman"/>
                <w:sz w:val="32"/>
                <w:szCs w:val="32"/>
              </w:rPr>
              <w:t>9.</w:t>
            </w:r>
            <w:r>
              <w:rPr>
                <w:rStyle w:val="150Char"/>
                <w:rFonts w:ascii="方正仿宋_GBK" w:eastAsia="方正仿宋_GBK" w:cs="方正仿宋_GBK" w:hint="eastAsia"/>
                <w:sz w:val="32"/>
                <w:szCs w:val="32"/>
              </w:rPr>
              <w:t>电气控制系统；</w:t>
            </w:r>
          </w:p>
          <w:p>
            <w:pPr>
              <w:spacing w:line="560" w:lineRule="exact"/>
              <w:ind w:firstLineChars="200" w:firstLine="640"/>
              <w:rPr>
                <w:rFonts w:ascii="宋体"/>
                <w:sz w:val="24"/>
              </w:rPr>
            </w:pPr>
            <w:r>
              <w:rPr>
                <w:rStyle w:val="150Char"/>
                <w:rFonts w:ascii="Times New Roman" w:eastAsia="方正仿宋_GBK" w:cs="方正仿宋_GBK" w:hAnsi="Times New Roman"/>
                <w:sz w:val="32"/>
                <w:szCs w:val="32"/>
              </w:rPr>
              <w:t>10.</w:t>
            </w:r>
            <w:r>
              <w:rPr>
                <w:rStyle w:val="150Char"/>
                <w:rFonts w:ascii="方正仿宋_GBK" w:eastAsia="方正仿宋_GBK" w:cs="方正仿宋_GBK" w:hint="eastAsia"/>
                <w:sz w:val="32"/>
                <w:szCs w:val="32"/>
              </w:rPr>
              <w:t>系统调试、第三方检测及竣工验收。</w:t>
            </w:r>
          </w:p>
          <w:p>
            <w:pPr>
              <w:spacing w:line="560" w:lineRule="exact"/>
              <w:ind w:firstLineChars="200" w:firstLine="56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/>
                <w:sz w:val="28"/>
                <w:szCs w:val="28"/>
              </w:rPr>
              <w:t>二、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付款条件：</w:t>
            </w:r>
          </w:p>
          <w:p>
            <w:pPr>
              <w:spacing w:line="560" w:lineRule="exact"/>
              <w:ind w:firstLineChars="200" w:firstLine="560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验收合格后，一个月内付该批次全款，采购方付款前需要供货方开具发票、收据等结算材料。</w:t>
            </w:r>
          </w:p>
          <w:p>
            <w:pPr>
              <w:spacing w:line="560" w:lineRule="exact"/>
              <w:ind w:firstLineChars="200" w:firstLine="560"/>
              <w:rPr>
                <w:rFonts w:ascii="方正仿宋_GBK" w:eastAsia="方正仿宋_GBK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方正仿宋_GBK" w:eastAsia="方正仿宋_GBK" w:cs="Times New Roman"/>
                <w:sz w:val="28"/>
                <w:szCs w:val="28"/>
              </w:rPr>
            </w:pPr>
          </w:p>
        </w:tc>
      </w:tr>
      <w:tr>
        <w:trPr>
          <w:trHeight w:val="4044"/>
        </w:trPr>
        <w:tc>
          <w:tcPr>
            <w:tcW w:w="1670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★技术参数</w:t>
            </w:r>
          </w:p>
        </w:tc>
        <w:tc>
          <w:tcPr>
            <w:tcW w:w="6852" w:type="dxa"/>
          </w:tcPr>
          <w:p>
            <w:pPr>
              <w:pStyle w:val="153"/>
              <w:numPr>
                <w:ilvl w:val="0"/>
                <w:numId w:val="1"/>
              </w:numPr>
              <w:spacing w:line="360" w:lineRule="auto"/>
              <w:rPr>
                <w:rFonts w:ascii="方正仿宋_GBK" w:eastAsia="方正仿宋_GBK"/>
                <w:b/>
                <w:bCs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b/>
                <w:bCs/>
                <w:sz w:val="28"/>
                <w:szCs w:val="28"/>
              </w:rPr>
              <w:t>排风机组</w:t>
            </w:r>
          </w:p>
          <w:p>
            <w:pPr>
              <w:pStyle w:val="154"/>
              <w:spacing w:line="360" w:lineRule="auto"/>
              <w:ind w:firstLineChars="300" w:firstLine="84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排风量：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8000m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³/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h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,机外静压：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550pa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,电压：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380V</w:t>
            </w:r>
          </w:p>
          <w:p>
            <w:pPr>
              <w:pStyle w:val="153"/>
              <w:numPr>
                <w:ilvl w:val="0"/>
                <w:numId w:val="1"/>
              </w:numPr>
              <w:spacing w:line="360" w:lineRule="auto"/>
              <w:rPr>
                <w:rFonts w:ascii="方正仿宋_GBK" w:eastAsia="方正仿宋_GBK"/>
                <w:b/>
                <w:bCs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b/>
                <w:bCs/>
                <w:sz w:val="28"/>
                <w:szCs w:val="28"/>
              </w:rPr>
              <w:t>排风高效过滤装置</w:t>
            </w:r>
          </w:p>
          <w:p>
            <w:pPr>
              <w:pStyle w:val="154"/>
              <w:spacing w:line="360" w:lineRule="auto"/>
              <w:ind w:firstLineChars="300" w:firstLine="84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材质：壳体板材可采用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SUS304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不锈钢或冷轧钢板环氧树脂静电喷塑，板材厚度≥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2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.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0mm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；焊缝连续满焊、内外抛光；所有焊缝做气密试漏。</w:t>
            </w:r>
          </w:p>
          <w:p>
            <w:pPr>
              <w:pStyle w:val="154"/>
              <w:spacing w:line="360" w:lineRule="auto"/>
              <w:ind w:firstLineChars="300" w:firstLine="84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内置高效过滤器：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H14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 级高效过滤器，过滤效率≥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99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.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995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%@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0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.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3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μ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m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。</w:t>
            </w:r>
          </w:p>
          <w:p>
            <w:pPr>
              <w:pStyle w:val="154"/>
              <w:spacing w:line="360" w:lineRule="auto"/>
              <w:ind w:firstLineChars="300" w:firstLine="84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过滤器安装框架：采用液槽密封结构，过滤器与框架之间无穿透性缝隙</w:t>
            </w:r>
          </w:p>
          <w:p>
            <w:pPr>
              <w:pStyle w:val="154"/>
              <w:spacing w:line="360" w:lineRule="auto"/>
              <w:rPr>
                <w:rFonts w:ascii="方正仿宋_GBK" w:eastAsia="方正仿宋_GBK"/>
                <w:b/>
                <w:bCs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b/>
                <w:bCs/>
                <w:sz w:val="28"/>
                <w:szCs w:val="28"/>
              </w:rPr>
              <w:t>四、生物安全密闭电动调节阀</w:t>
            </w:r>
          </w:p>
          <w:p>
            <w:pPr>
              <w:pStyle w:val="154"/>
              <w:spacing w:line="360" w:lineRule="auto"/>
              <w:ind w:firstLineChars="300" w:firstLine="84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阀体材质：铝合金或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304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 不锈钢，法兰连接；密封采用耐消毒硅橡胶密封圈。</w:t>
            </w:r>
          </w:p>
          <w:p>
            <w:pPr>
              <w:pStyle w:val="154"/>
              <w:spacing w:line="360" w:lineRule="auto"/>
              <w:ind w:firstLineChars="200" w:firstLine="56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执行机构：电动执行器，带手动应急手轮，断电保持阀位；防护等级≥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IP65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；供电 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AC220V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；支持 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0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~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10V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 模拟量连续风量调节；具备阀位反馈（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4-20mA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 或无源干接点），阀开 / 阀关故障信号可接入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PLC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控制系统。</w:t>
            </w:r>
          </w:p>
          <w:p>
            <w:pPr>
              <w:pStyle w:val="154"/>
              <w:spacing w:line="360" w:lineRule="auto"/>
              <w:rPr>
                <w:rFonts w:ascii="方正仿宋_GBK" w:eastAsia="方正仿宋_GBK"/>
                <w:b/>
                <w:bCs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b/>
                <w:bCs/>
                <w:sz w:val="28"/>
                <w:szCs w:val="28"/>
              </w:rPr>
              <w:t>五、排风管道系统</w:t>
            </w:r>
          </w:p>
          <w:p>
            <w:pPr>
              <w:pStyle w:val="154"/>
              <w:spacing w:line="360" w:lineRule="auto"/>
              <w:ind w:firstLineChars="200" w:firstLine="56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结构构造：污染排风管道内部无外露螺栓、铆钉、紧固件；管路弯头采用大曲率圆滑弯头，减少涡流滞留；支管从主管侧上部接入，严禁底部接入积污</w:t>
            </w:r>
          </w:p>
          <w:p>
            <w:pPr>
              <w:pStyle w:val="154"/>
              <w:spacing w:line="360" w:lineRule="auto"/>
              <w:ind w:firstLineChars="200" w:firstLine="56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法兰密封：所有排风法兰采用整体耐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VHP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、耐老化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EPDM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密封垫，禁止普通橡胶垫、禁止拼接垫，法兰密封无渗漏</w:t>
            </w:r>
          </w:p>
          <w:p>
            <w:pPr>
              <w:pStyle w:val="154"/>
              <w:spacing w:line="360" w:lineRule="auto"/>
              <w:ind w:firstLineChars="200" w:firstLine="56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系统气密性：污染排风风管按高压风管严密性标准施工验收，逐段负压检漏，整体系统无可见漏风；系统完工后提供完整风管气密性试验记录，保障长期负压运行不漏气。</w:t>
            </w:r>
          </w:p>
          <w:p>
            <w:pPr>
              <w:pStyle w:val="154"/>
              <w:spacing w:line="360" w:lineRule="auto"/>
              <w:rPr>
                <w:rFonts w:ascii="方正仿宋_GBK" w:eastAsia="方正仿宋_GBK"/>
                <w:b/>
                <w:bCs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b/>
                <w:bCs/>
                <w:sz w:val="28"/>
                <w:szCs w:val="28"/>
              </w:rPr>
              <w:t>六、自动控制系统</w:t>
            </w:r>
          </w:p>
          <w:p>
            <w:pPr>
              <w:pStyle w:val="154"/>
              <w:spacing w:line="360" w:lineRule="auto"/>
              <w:ind w:firstLineChars="200" w:firstLine="56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1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、本方案涉及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15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个功能区域，各区域按生物安全流向要求设定不同的目标压力值，形成由洁净区向污染区递进的压力梯度。负压区域确保污染空气不外溢，正压区域防止外部未处理空气渗入。</w:t>
            </w:r>
          </w:p>
          <w:tbl>
            <w:tblPr>
              <w:jc w:val="left"/>
              <w:tblW w:w="8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75"/>
              <w:gridCol w:w="750"/>
              <w:gridCol w:w="1815"/>
              <w:gridCol w:w="1080"/>
              <w:gridCol w:w="1080"/>
              <w:gridCol w:w="1080"/>
              <w:gridCol w:w="1080"/>
              <w:gridCol w:w="1080"/>
            </w:tblGrid>
            <w:tr>
              <w:trPr>
                <w:trHeight w:val="660"/>
              </w:trPr>
              <w:tc>
                <w:tcPr>
                  <w:tcW w:w="7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5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排风量</w:t>
                  </w:r>
                </w:p>
              </w:tc>
              <w:tc>
                <w:tcPr>
                  <w:tcW w:w="7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55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序号</w:t>
                  </w:r>
                </w:p>
              </w:tc>
              <w:tc>
                <w:tcPr>
                  <w:tcW w:w="18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56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房间名称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57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面积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58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高度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59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体积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60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送风量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61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压力</w:t>
                  </w:r>
                </w:p>
              </w:tc>
            </w:tr>
            <w:tr>
              <w:trPr>
                <w:trHeight w:val="660"/>
              </w:trPr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5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260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62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63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穿戴室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6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65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66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26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67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390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68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10</w:t>
                  </w:r>
                </w:p>
              </w:tc>
            </w:tr>
            <w:tr>
              <w:trPr>
                <w:trHeight w:val="660"/>
              </w:trPr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5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260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69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70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应急物资储备室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71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72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73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26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7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390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75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</w:tr>
            <w:tr>
              <w:trPr>
                <w:trHeight w:val="660"/>
              </w:trPr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5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260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76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77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应急物资储备室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78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79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80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26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81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390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82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</w:tr>
            <w:tr>
              <w:trPr>
                <w:trHeight w:val="660"/>
              </w:trPr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5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280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83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8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卫生处理器械存放室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85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10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86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87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28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88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421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89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</w:tr>
            <w:tr>
              <w:trPr>
                <w:trHeight w:val="660"/>
              </w:trPr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5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442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90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91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缓冲区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92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8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93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9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22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95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331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96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-10</w:t>
                  </w:r>
                </w:p>
              </w:tc>
            </w:tr>
            <w:tr>
              <w:trPr>
                <w:trHeight w:val="660"/>
              </w:trPr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5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270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97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98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洗消室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99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10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00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01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27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02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405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03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</w:tr>
            <w:tr>
              <w:trPr>
                <w:trHeight w:val="660"/>
              </w:trPr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5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520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0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05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应急准备区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06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07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08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26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09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390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10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-15</w:t>
                  </w:r>
                </w:p>
              </w:tc>
            </w:tr>
            <w:tr>
              <w:trPr>
                <w:trHeight w:val="660"/>
              </w:trPr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5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296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11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12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脱卸区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13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1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15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14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16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222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17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-20</w:t>
                  </w:r>
                </w:p>
              </w:tc>
            </w:tr>
            <w:tr>
              <w:trPr>
                <w:trHeight w:val="660"/>
              </w:trPr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5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748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18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19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医学排查室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20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14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21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22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37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23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561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2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-20</w:t>
                  </w:r>
                </w:p>
              </w:tc>
            </w:tr>
            <w:tr>
              <w:trPr>
                <w:trHeight w:val="660"/>
              </w:trPr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5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748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25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26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快速检测室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27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14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28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29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37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30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561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31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-20</w:t>
                  </w:r>
                </w:p>
              </w:tc>
            </w:tr>
            <w:tr>
              <w:trPr>
                <w:trHeight w:val="660"/>
              </w:trPr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5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286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32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33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缓冲区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3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35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36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14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37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214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38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-10</w:t>
                  </w:r>
                </w:p>
              </w:tc>
            </w:tr>
            <w:tr>
              <w:trPr>
                <w:trHeight w:val="660"/>
              </w:trPr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5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1102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39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40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隔离留验室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41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21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42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43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55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4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826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45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-25</w:t>
                  </w:r>
                </w:p>
              </w:tc>
            </w:tr>
            <w:tr>
              <w:trPr>
                <w:trHeight w:val="660"/>
              </w:trPr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5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156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46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47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卫生间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48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49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50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7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51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117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52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-30</w:t>
                  </w:r>
                </w:p>
              </w:tc>
            </w:tr>
            <w:tr>
              <w:trPr>
                <w:trHeight w:val="660"/>
              </w:trPr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5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260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53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5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缓冲区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55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56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57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13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58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195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59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-10</w:t>
                  </w:r>
                </w:p>
              </w:tc>
            </w:tr>
            <w:tr>
              <w:trPr>
                <w:trHeight w:val="660"/>
              </w:trPr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15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624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60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61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洗消室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62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63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64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31</w:t>
                  </w:r>
                  <w:r>
                    <w:rPr>
                      <w:rFonts w:ascii="方正仿宋_GBK" w:eastAsia="方正仿宋_GBK" w:cs="宋体" w:hint="eastAsia"/>
                      <w:color w:val="000000"/>
                      <w:kern w:val="0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65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468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>
                  <w:pPr>
                    <w:pStyle w:val="266"/>
                    <w:widowControl/>
                    <w:jc w:val="center"/>
                    <w:rPr>
                      <w:rFonts w:ascii="方正仿宋_GBK" w:eastAsia="方正仿宋_GBK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eastAsia="方正仿宋_GBK" w:cs="宋体" w:hAnsi="Times New Roman" w:hint="eastAsia"/>
                      <w:color w:val="000000"/>
                      <w:kern w:val="0"/>
                      <w:sz w:val="20"/>
                      <w:szCs w:val="20"/>
                    </w:rPr>
                    <w:t>-20</w:t>
                  </w:r>
                </w:p>
              </w:tc>
            </w:tr>
          </w:tbl>
          <w:p>
            <w:pPr>
              <w:pStyle w:val="154"/>
              <w:spacing w:line="360" w:lineRule="auto"/>
              <w:rPr>
                <w:rFonts w:ascii="方正仿宋_GBK" w:eastAsia="方正仿宋_GBK"/>
                <w:b/>
                <w:bCs/>
                <w:sz w:val="28"/>
                <w:szCs w:val="28"/>
              </w:rPr>
            </w:pPr>
          </w:p>
          <w:p>
            <w:pPr>
              <w:pStyle w:val="154"/>
              <w:spacing w:line="360" w:lineRule="auto"/>
              <w:ind w:firstLineChars="200" w:firstLine="56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压力控制精度：系统可实现各功能房间压力稳定控制在设计目标值±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2Pa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以内；</w:t>
            </w:r>
          </w:p>
          <w:p>
            <w:pPr>
              <w:pStyle w:val="154"/>
              <w:spacing w:line="360" w:lineRule="auto"/>
              <w:ind w:firstLineChars="200" w:firstLine="56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阀门控制与状态反馈：电动风阀执行器具备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0-10V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模拟量控制信号及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4-20mA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位置反馈信号，同时配置全开、全关限位开关（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DI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反馈），形成阀门开度全闭环控制；</w:t>
            </w:r>
          </w:p>
          <w:p>
            <w:pPr>
              <w:pStyle w:val="154"/>
              <w:spacing w:line="360" w:lineRule="auto"/>
              <w:ind w:firstLineChars="200" w:firstLine="56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超压/欠压报警功能：系统具备超压报警和欠压报警功能，报警阈值可设（默认±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2Pa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），支持报警延时（默认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5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秒），触发后自动进行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PID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纠偏调节</w:t>
            </w:r>
          </w:p>
          <w:p>
            <w:pPr>
              <w:pStyle w:val="154"/>
              <w:spacing w:line="360" w:lineRule="auto"/>
              <w:ind w:firstLineChars="200" w:firstLine="56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高效过滤器堵塞报警：系统配置高效过滤器前后压差传感器，当压差超过设定值≥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500Pa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时触发堵塞报警，提示更换滤网，并自动进行排风频率补偿提升</w:t>
            </w:r>
          </w:p>
          <w:p>
            <w:pPr>
              <w:pStyle w:val="154"/>
              <w:spacing w:line="360" w:lineRule="auto"/>
              <w:ind w:firstLineChars="200" w:firstLine="56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排风故障时立即联锁停止送风系统；送风故障时排风系统提速维持负压</w:t>
            </w:r>
          </w:p>
          <w:p>
            <w:pPr>
              <w:pStyle w:val="154"/>
              <w:spacing w:line="360" w:lineRule="auto"/>
              <w:ind w:firstLineChars="200" w:firstLine="56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送排风联锁控制：系统严格执行排风先启、排风后关的联锁逻辑：启动时排风系统先运行并延时确认稳定后送风系统方可启动；停止时送风系统先停止并延时后排风系统方可停止；</w:t>
            </w:r>
          </w:p>
          <w:p>
            <w:pPr>
              <w:pStyle w:val="154"/>
              <w:spacing w:line="360" w:lineRule="auto"/>
              <w:ind w:firstLineChars="200" w:firstLine="56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触摸屏(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HMI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)配置：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7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寸及以上彩色宽屏，支持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PROFINET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以太网通信</w:t>
            </w:r>
          </w:p>
          <w:p>
            <w:pPr>
              <w:pStyle w:val="154"/>
              <w:spacing w:line="360" w:lineRule="auto"/>
              <w:ind w:firstLineChars="200" w:firstLine="56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远程监控功能：系统支持远程监控功能，可通过局域网/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VPN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远程实时查看压力、温湿度、设备状态等数据</w:t>
            </w:r>
          </w:p>
          <w:p>
            <w:pPr>
              <w:pStyle w:val="154"/>
              <w:spacing w:line="360" w:lineRule="auto"/>
              <w:ind w:firstLineChars="200" w:firstLine="56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温湿度监测：口岸负压隔离留言设施配置温湿度变送器，温度精度≤±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0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.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3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℃，湿度精度≤±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2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%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RH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，支持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ModbusRTU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通信接入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PLC</w:t>
            </w:r>
          </w:p>
          <w:p>
            <w:pPr>
              <w:pStyle w:val="154"/>
              <w:spacing w:line="360" w:lineRule="auto"/>
              <w:ind w:firstLineChars="200" w:firstLine="560"/>
              <w:rPr>
                <w:rFonts w:ascii="方正仿宋_GBK" w:eastAsia="方正仿宋_GBK"/>
                <w:sz w:val="28"/>
                <w:szCs w:val="28"/>
              </w:rPr>
            </w:pPr>
          </w:p>
          <w:p>
            <w:pPr>
              <w:pStyle w:val="62"/>
              <w:spacing w:line="360" w:lineRule="auto"/>
              <w:ind w:firstLineChars="200" w:firstLine="560"/>
              <w:rPr>
                <w:rStyle w:val="150Char"/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rPr>
          <w:trHeight w:val="1863"/>
        </w:trPr>
        <w:tc>
          <w:tcPr>
            <w:tcW w:w="1670" w:type="dxa"/>
            <w:vAlign w:val="center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</w:tc>
        <w:tc>
          <w:tcPr>
            <w:tcW w:w="6852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评审方法按照综合评分法。</w:t>
            </w:r>
          </w:p>
        </w:tc>
      </w:tr>
    </w:tbl>
    <w:p>
      <w:pPr>
        <w:spacing w:line="560" w:lineRule="exact"/>
        <w:rPr>
          <w:rFonts w:ascii="方正仿宋_GBK" w:eastAsia="方正仿宋_GBK" w:cs="方正仿宋_GBK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Wingdings 2">
    <w:altName w:val="DejaVu San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等线">
    <w:altName w:val="Arial Unicode MS"/>
    <w:panose1 w:val="00000000000000000000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11EC37FA"/>
    <w:multiLevelType w:val="multilevel"/>
    <w:tmpl w:val="11EC37FA"/>
    <w:lvl w:ilvl="0">
      <w:start w:val="1"/>
      <w:numFmt w:val="japaneseCounting"/>
      <w:lvlRestart w:val="0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F4198A7C"/>
    <w:multiLevelType w:val="singleLevel"/>
    <w:tmpl w:val="013276D7"/>
    <w:lvl w:ilvl="0">
      <w:start w:val="1"/>
      <w:numFmt w:val="bullet"/>
      <w:lvlRestart w:val="0"/>
      <w:pStyle w:val="15"/>
      <w:lvlText w:val=""/>
      <w:lvlJc w:val="left"/>
      <w:pPr>
        <w:ind w:left="16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86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List Bullet 4"/>
    <w:basedOn w:val="0"/>
    <w:pPr>
      <w:numPr>
        <w:ilvl w:val="0"/>
        <w:numId w:val="2"/>
      </w:numPr>
    </w:pPr>
  </w:style>
  <w:style w:type="paragraph" w:styleId="16">
    <w:name w:val="index 8"/>
    <w:basedOn w:val="0"/>
    <w:autoRedefine/>
    <w:next w:val="0"/>
    <w:pPr>
      <w:ind w:left="2940"/>
    </w:pPr>
  </w:style>
  <w:style w:type="paragraph" w:styleId="17">
    <w:name w:val="Normal Indent"/>
    <w:basedOn w:val="0"/>
    <w:pPr>
      <w:ind w:firstLine="420"/>
    </w:pPr>
  </w:style>
  <w:style w:type="paragraph" w:styleId="18">
    <w:name w:val="Body Text"/>
    <w:basedOn w:val="0"/>
    <w:pPr>
      <w:spacing w:after="120"/>
    </w:pPr>
  </w:style>
  <w:style w:type="paragraph" w:styleId="19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0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1">
    <w:name w:val="toc 1"/>
    <w:basedOn w:val="0"/>
    <w:autoRedefine/>
    <w:next w:val="0"/>
  </w:style>
  <w:style w:type="paragraph" w:styleId="22">
    <w:name w:val="Title"/>
    <w:basedOn w:val="0"/>
    <w:pPr>
      <w:spacing w:before="240" w:after="60"/>
      <w:jc w:val="center"/>
      <w:outlineLvl w:val="0"/>
    </w:pPr>
    <w:rPr>
      <w:rFonts w:ascii="Arial" w:hAnsi="Arial"/>
      <w:b/>
      <w:bCs/>
      <w:sz w:val="32"/>
      <w:szCs w:val="32"/>
    </w:rPr>
  </w:style>
  <w:style w:type="character" w:styleId="23">
    <w:name w:val="line number"/>
    <w:basedOn w:val="10"/>
  </w:style>
  <w:style w:type="paragraph" w:customStyle="1" w:styleId="24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1 10 磅"/>
    <w:next w:val="19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8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9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6 10 磅"/>
    <w:next w:val="45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3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4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5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0 10 磅"/>
    <w:next w:val="2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7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8">
    <w:name w:val="样式 22 10 磅"/>
    <w:next w:val="30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9">
    <w:name w:val="样式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50">
    <w:name w:val="样式 2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1">
    <w:name w:val="样式 2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2">
    <w:name w:val="样式 2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3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2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2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7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8">
    <w:name w:val="样式 3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9">
    <w:name w:val="样式 3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0">
    <w:name w:val="样式 3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1">
    <w:name w:val="样式 3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62">
    <w:name w:val="列出段落1"/>
    <w:next w:val="18"/>
    <w:pPr>
      <w:widowControl w:val="0"/>
      <w:ind w:left="720"/>
      <w:contextualSpacing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">
    <w:name w:val="样式 36 10 磅"/>
    <w:next w:val="49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4">
    <w:name w:val="样式 3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5">
    <w:name w:val="样式 3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6">
    <w:name w:val="样式 3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7">
    <w:name w:val="样式 5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8">
    <w:name w:val="样式 3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9">
    <w:name w:val="样式 45 10 磅"/>
    <w:next w:val="1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70">
    <w:name w:val="样式 4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1">
    <w:name w:val="样式 41 10 磅"/>
    <w:pPr>
      <w:widowControl w:val="0"/>
      <w:ind w:firstLineChars="200" w:firstLine="20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72">
    <w:name w:val="样式 70 10 磅"/>
    <w:next w:val="15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3">
    <w:name w:val="样式 1 小四"/>
    <w:pPr>
      <w:widowControl w:val="0"/>
      <w:jc w:val="both"/>
    </w:pPr>
    <w:rPr>
      <w:rFonts w:ascii="宋体" w:eastAsia="宋体" w:cs="宋体"/>
      <w:kern w:val="2"/>
      <w:sz w:val="24"/>
      <w:szCs w:val="24"/>
      <w:lang w:val="en-US" w:eastAsia="zh-CN" w:bidi="ar-SA"/>
    </w:rPr>
  </w:style>
  <w:style w:type="paragraph" w:customStyle="1" w:styleId="74">
    <w:name w:val="样式 4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5">
    <w:name w:val="样式 4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6">
    <w:name w:val="样式 4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7">
    <w:name w:val="样式 4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8">
    <w:name w:val="样式 4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9">
    <w:name w:val="样式 4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0">
    <w:name w:val="样式 4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1">
    <w:name w:val="样式 5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2">
    <w:name w:val="样式 5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3">
    <w:name w:val="样式 5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4">
    <w:name w:val="样式 5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5">
    <w:name w:val="样式 5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6">
    <w:name w:val="样式 5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7">
    <w:name w:val="样式 5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8">
    <w:name w:val="样式 5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9">
    <w:name w:val="样式 5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0">
    <w:name w:val="样式 6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1">
    <w:name w:val="样式 6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2">
    <w:name w:val="样式 6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3">
    <w:name w:val="样式 6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4">
    <w:name w:val="样式 6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5">
    <w:name w:val="样式 65 10 磅"/>
    <w:next w:val="104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6">
    <w:name w:val="样式 6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7">
    <w:name w:val="样式 6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8">
    <w:name w:val="样式 6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9">
    <w:name w:val="样式 6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0">
    <w:name w:val="样式 7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1">
    <w:name w:val="样式 7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2">
    <w:name w:val="样式 7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3">
    <w:name w:val="样式 7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4">
    <w:name w:val="样式 7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5">
    <w:name w:val="样式 7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6">
    <w:name w:val="样式 7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7">
    <w:name w:val="样式 7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8">
    <w:name w:val="样式 7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9">
    <w:name w:val="样式 8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0">
    <w:name w:val="样式 8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1">
    <w:name w:val="样式 8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2">
    <w:name w:val="样式 8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3">
    <w:name w:val="样式 8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4">
    <w:name w:val="样式 8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5">
    <w:name w:val="样式 8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6">
    <w:name w:val="样式 8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7">
    <w:name w:val="样式 8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8">
    <w:name w:val="样式 8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9">
    <w:name w:val="样式 9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0">
    <w:name w:val="样式 9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1">
    <w:name w:val="样式 9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2">
    <w:name w:val="样式 9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3">
    <w:name w:val="样式 9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4">
    <w:name w:val="样式 9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5">
    <w:name w:val="样式 9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6">
    <w:name w:val="样式 9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7">
    <w:name w:val="样式 9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8">
    <w:name w:val="样式 9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9">
    <w:name w:val="样式 10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0">
    <w:name w:val="样式 10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1">
    <w:name w:val="样式 10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2">
    <w:name w:val="样式 10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3">
    <w:name w:val="样式 10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4">
    <w:name w:val="样式 10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5">
    <w:name w:val="样式 10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6">
    <w:name w:val="样式 10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7">
    <w:name w:val="样式 10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8">
    <w:name w:val="样式 10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9">
    <w:name w:val="样式 1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0">
    <w:name w:val="样式 1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1">
    <w:name w:val="样式 1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2">
    <w:name w:val="样式 1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3">
    <w:name w:val="样式 1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4">
    <w:name w:val="样式 1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5">
    <w:name w:val="样式 1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6">
    <w:name w:val="样式 1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7">
    <w:name w:val="样式 1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8">
    <w:name w:val="样式 1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9">
    <w:name w:val="样式 120 10 磅"/>
    <w:pPr>
      <w:widowControl w:val="0"/>
      <w:ind w:left="720"/>
      <w:contextualSpacing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">
    <w:name w:val="样式 121 10 磅"/>
    <w:link w:val="150Char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customStyle="1" w:styleId="150Char">
    <w:name w:val="样式 121 10 磅 Char"/>
    <w:basedOn w:val="10"/>
    <w:link w:val="150"/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1">
    <w:name w:val="样式 122 10 磅"/>
    <w:pPr>
      <w:widowControl w:val="0"/>
      <w:ind w:left="720"/>
      <w:contextualSpacing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">
    <w:name w:val="样式 1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">
    <w:name w:val="样式 124 10 磅"/>
    <w:pPr>
      <w:widowControl w:val="0"/>
      <w:ind w:left="720"/>
      <w:contextualSpacing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">
    <w:name w:val="样式 1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">
    <w:name w:val="样式 1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">
    <w:name w:val="样式 1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">
    <w:name w:val="样式 1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">
    <w:name w:val="样式 1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">
    <w:name w:val="样式 1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">
    <w:name w:val="样式 1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">
    <w:name w:val="样式 1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">
    <w:name w:val="样式 1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">
    <w:name w:val="样式 1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">
    <w:name w:val="样式 1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">
    <w:name w:val="样式 1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">
    <w:name w:val="样式 1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">
    <w:name w:val="样式 1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">
    <w:name w:val="样式 1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">
    <w:name w:val="样式 1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">
    <w:name w:val="样式 1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">
    <w:name w:val="样式 1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">
    <w:name w:val="样式 1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">
    <w:name w:val="样式 1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">
    <w:name w:val="样式 1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">
    <w:name w:val="样式 1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">
    <w:name w:val="样式 1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">
    <w:name w:val="样式 1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">
    <w:name w:val="样式 1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">
    <w:name w:val="样式 1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">
    <w:name w:val="样式 1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">
    <w:name w:val="样式 1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">
    <w:name w:val="样式 1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">
    <w:name w:val="样式 1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">
    <w:name w:val="样式 1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">
    <w:name w:val="样式 1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">
    <w:name w:val="样式 1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">
    <w:name w:val="样式 1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">
    <w:name w:val="样式 1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">
    <w:name w:val="样式 1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">
    <w:name w:val="样式 1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">
    <w:name w:val="样式 1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">
    <w:name w:val="样式 1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">
    <w:name w:val="样式 1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">
    <w:name w:val="样式 1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">
    <w:name w:val="样式 1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">
    <w:name w:val="样式 1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">
    <w:name w:val="样式 1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">
    <w:name w:val="样式 1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">
    <w:name w:val="样式 1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">
    <w:name w:val="样式 1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">
    <w:name w:val="样式 1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">
    <w:name w:val="样式 1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">
    <w:name w:val="样式 1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">
    <w:name w:val="样式 1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">
    <w:name w:val="样式 1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">
    <w:name w:val="样式 1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7">
    <w:name w:val="样式 1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8">
    <w:name w:val="样式 1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9">
    <w:name w:val="样式 1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0">
    <w:name w:val="样式 1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1">
    <w:name w:val="样式 1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2">
    <w:name w:val="样式 1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3">
    <w:name w:val="样式 1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4">
    <w:name w:val="样式 1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">
    <w:name w:val="样式 1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6">
    <w:name w:val="样式 1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7">
    <w:name w:val="样式 1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8">
    <w:name w:val="样式 1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9">
    <w:name w:val="样式 1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0">
    <w:name w:val="样式 1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1">
    <w:name w:val="样式 1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">
    <w:name w:val="样式 1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3">
    <w:name w:val="样式 1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">
    <w:name w:val="样式 1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">
    <w:name w:val="样式 1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">
    <w:name w:val="样式 1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">
    <w:name w:val="样式 1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">
    <w:name w:val="样式 1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">
    <w:name w:val="样式 2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">
    <w:name w:val="样式 2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">
    <w:name w:val="样式 2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2">
    <w:name w:val="样式 2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">
    <w:name w:val="样式 2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">
    <w:name w:val="样式 2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5">
    <w:name w:val="样式 2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">
    <w:name w:val="样式 2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">
    <w:name w:val="样式 2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">
    <w:name w:val="样式 2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">
    <w:name w:val="样式 2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">
    <w:name w:val="样式 2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1">
    <w:name w:val="样式 2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">
    <w:name w:val="样式 2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">
    <w:name w:val="样式 2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4">
    <w:name w:val="样式 2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">
    <w:name w:val="样式 2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">
    <w:name w:val="样式 2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7">
    <w:name w:val="样式 2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">
    <w:name w:val="样式 2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">
    <w:name w:val="样式 2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0">
    <w:name w:val="样式 2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">
    <w:name w:val="样式 2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">
    <w:name w:val="样式 2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3">
    <w:name w:val="样式 2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">
    <w:name w:val="样式 2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">
    <w:name w:val="样式 2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">
    <w:name w:val="样式 2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">
    <w:name w:val="样式 2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">
    <w:name w:val="样式 2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9">
    <w:name w:val="样式 2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">
    <w:name w:val="样式 2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">
    <w:name w:val="样式 2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2">
    <w:name w:val="样式 2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3">
    <w:name w:val="样式 2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">
    <w:name w:val="样式 2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">
    <w:name w:val="样式 2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">
    <w:name w:val="样式 2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7">
    <w:name w:val="样式 23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Yozo_Office</Application>
  <Pages>6</Pages>
  <Words>1707</Words>
  <Characters>2122</Characters>
  <Lines>102</Lines>
  <Paragraphs>204</Paragraphs>
  <CharactersWithSpaces>2133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付玮</cp:lastModifiedBy>
  <cp:revision>2</cp:revision>
  <dcterms:created xsi:type="dcterms:W3CDTF">2026-09-16T01:57:00Z</dcterms:created>
  <dcterms:modified xsi:type="dcterms:W3CDTF">2026-09-18T00:46:59Z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2052-12.1.0.25225</vt:lpwstr>
  </property>
  <property fmtid="{D5CDD505-2E9C-101B-9397-08002B2CF9AE}" pid="3" name="ICV">
    <vt:lpwstr>13FC03BBBE644E12906E8756822649A7_13</vt:lpwstr>
  </property>
  <property fmtid="{D5CDD505-2E9C-101B-9397-08002B2CF9AE}" pid="4" name="KSOTemplateDocerSaveRecord">
    <vt:lpwstr>eyJoZGlkIjoiYzg4ZWUzYzA3MTJjZTQ5MGFhMzMwM2QyYzVlZjlmODAiLCJ1c2VySWQiOiIyMDk5NTQ3MTIifQ==</vt:lpwstr>
  </property>
</Properties>
</file>