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rPr>
          <w:rFonts w:ascii="方正黑体_GBK" w:eastAsia="方正黑体_GBK" w:cs="方正黑体_GBK"/>
          <w:sz w:val="32"/>
          <w:szCs w:val="32"/>
        </w:rPr>
      </w:pPr>
      <w:r>
        <w:rPr>
          <w:rFonts w:ascii="方正黑体_GBK" w:eastAsia="方正黑体_GBK" w:cs="方正黑体_GBK" w:hint="eastAsia"/>
          <w:sz w:val="32"/>
          <w:szCs w:val="32"/>
        </w:rPr>
        <w:t>附件</w:t>
      </w:r>
      <w:r>
        <w:rPr>
          <w:rFonts w:ascii="方正黑体_GBK" w:eastAsia="方正黑体_GBK" w:cs="方正黑体_GBK"/>
          <w:sz w:val="32"/>
          <w:szCs w:val="32"/>
        </w:rPr>
        <w:t>2</w:t>
      </w:r>
      <w:bookmarkStart w:id="0" w:name="_GoBack"/>
      <w:bookmarkEnd w:id="0"/>
    </w:p>
    <w:p>
      <w:pPr>
        <w:spacing w:line="560" w:lineRule="exact"/>
        <w:jc w:val="center"/>
        <w:rPr>
          <w:rFonts w:ascii="方正小标宋_GBK" w:eastAsia="方正小标宋_GBK" w:cs="方正小标宋_GBK"/>
          <w:sz w:val="44"/>
          <w:szCs w:val="44"/>
        </w:rPr>
      </w:pPr>
      <w:r>
        <w:rPr>
          <w:rFonts w:ascii="方正小标宋_GBK" w:eastAsia="方正小标宋_GBK" w:cs="方正小标宋_GBK" w:hint="eastAsia"/>
          <w:sz w:val="44"/>
          <w:szCs w:val="44"/>
        </w:rPr>
        <w:t>比选采购需求书</w:t>
      </w:r>
    </w:p>
    <w:tbl>
      <w:tblPr>
        <w:jc w:val="left"/>
        <w:tblInd w:w="0" w:type="dxa"/>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2198"/>
        <w:gridCol w:w="6862"/>
      </w:tblGrid>
      <w:tr>
        <w:tc>
          <w:tcPr>
            <w:tcW w:w="9060" w:type="dxa"/>
            <w:gridSpan w:val="2"/>
            <w:vAlign w:val="center"/>
          </w:tcPr>
          <w:p>
            <w:pPr>
              <w:spacing w:line="560" w:lineRule="exact"/>
              <w:jc w:val="center"/>
              <w:rPr>
                <w:rFonts w:ascii="方正仿宋_GBK" w:eastAsia="方正仿宋_GBK" w:cs="方正仿宋_GBK"/>
                <w:sz w:val="28"/>
                <w:szCs w:val="28"/>
              </w:rPr>
            </w:pPr>
            <w:r>
              <w:rPr>
                <w:rFonts w:ascii="方正楷体_GBK" w:eastAsia="方正楷体_GBK" w:cs="方正楷体_GBK" w:hint="eastAsia"/>
                <w:sz w:val="32"/>
                <w:szCs w:val="32"/>
              </w:rPr>
              <w:t>基础信息栏</w:t>
            </w:r>
          </w:p>
        </w:tc>
      </w:tr>
      <w:tr>
        <w:tc>
          <w:tcPr>
            <w:tcW w:w="2198"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项目名称</w:t>
            </w:r>
          </w:p>
        </w:tc>
        <w:tc>
          <w:tcPr>
            <w:tcW w:w="6862"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二连海关</w:t>
            </w:r>
            <w:r>
              <w:rPr>
                <w:rFonts w:ascii="方正仿宋_GBK" w:eastAsia="方正仿宋_GBK" w:cs="方正仿宋_GBK"/>
                <w:sz w:val="28"/>
                <w:szCs w:val="28"/>
              </w:rPr>
              <w:t>中心机房配电柜采购项目</w:t>
            </w:r>
          </w:p>
        </w:tc>
      </w:tr>
      <w:tr>
        <w:tc>
          <w:tcPr>
            <w:tcW w:w="2198"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采购预算</w:t>
            </w:r>
          </w:p>
        </w:tc>
        <w:tc>
          <w:tcPr>
            <w:tcW w:w="6862" w:type="dxa"/>
            <w:vAlign w:val="center"/>
          </w:tcPr>
          <w:p>
            <w:pPr>
              <w:spacing w:line="560" w:lineRule="exact"/>
              <w:jc w:val="center"/>
              <w:rPr>
                <w:rFonts w:ascii="Times New Roman" w:eastAsia="方正仿宋_GBK" w:cs="Times New Roman" w:hAnsi="Times New Roman"/>
                <w:sz w:val="28"/>
                <w:szCs w:val="28"/>
              </w:rPr>
            </w:pPr>
            <w:r>
              <w:rPr>
                <w:rFonts w:ascii="Times New Roman" w:eastAsia="方正仿宋_GBK" w:cs="Times New Roman" w:hAnsi="Times New Roman"/>
                <w:sz w:val="28"/>
                <w:szCs w:val="28"/>
                <w:lang w:val="en-US" w:eastAsia="zh-CN"/>
              </w:rPr>
              <w:t>26</w:t>
            </w:r>
            <w:r>
              <w:rPr>
                <w:rFonts w:ascii="Times New Roman" w:eastAsia="方正仿宋_GBK" w:cs="Times New Roman" w:hAnsi="Times New Roman" w:hint="eastAsia"/>
                <w:sz w:val="28"/>
                <w:szCs w:val="28"/>
                <w:lang w:val="en-US" w:eastAsia="zh-CN"/>
              </w:rPr>
              <w:t>0000</w:t>
            </w:r>
            <w:r>
              <w:rPr>
                <w:rFonts w:ascii="Times New Roman" w:eastAsia="方正仿宋_GBK" w:cs="Times New Roman" w:hAnsi="Times New Roman"/>
                <w:sz w:val="28"/>
                <w:szCs w:val="28"/>
                <w:lang w:val="en-US" w:eastAsia="zh-CN"/>
              </w:rPr>
              <w:t>.00</w:t>
            </w:r>
            <w:r>
              <w:rPr>
                <w:rFonts w:ascii="Times New Roman" w:eastAsia="方正仿宋_GBK" w:cs="Times New Roman" w:hAnsi="Times New Roman"/>
                <w:sz w:val="28"/>
                <w:szCs w:val="28"/>
              </w:rPr>
              <w:t>元</w:t>
            </w:r>
          </w:p>
        </w:tc>
      </w:tr>
      <w:tr>
        <w:tc>
          <w:tcPr>
            <w:tcW w:w="2198"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评审方法</w:t>
            </w:r>
          </w:p>
        </w:tc>
        <w:tc>
          <w:tcPr>
            <w:tcW w:w="6862" w:type="dxa"/>
            <w:vAlign w:val="center"/>
          </w:tcPr>
          <w:p>
            <w:pPr>
              <w:spacing w:line="400" w:lineRule="exact"/>
              <w:jc w:val="left"/>
              <w:rPr>
                <w:rFonts w:ascii="方正仿宋_GBK" w:eastAsia="方正仿宋_GBK" w:cs="方正仿宋_GBK"/>
                <w:sz w:val="28"/>
                <w:szCs w:val="28"/>
              </w:rPr>
            </w:pPr>
            <w:r>
              <w:rPr>
                <w:rFonts w:ascii="方正仿宋_GBK" w:eastAsia="方正仿宋_GBK" w:cs="方正仿宋_GBK" w:hint="eastAsia"/>
                <w:sz w:val="28"/>
                <w:szCs w:val="28"/>
                <w:highlight w:val="auto"/>
              </w:rPr>
              <w:t>√</w:t>
            </w:r>
            <w:r>
              <w:rPr>
                <w:rFonts w:ascii="方正仿宋_GBK" w:eastAsia="方正仿宋_GBK" w:cs="方正仿宋_GBK" w:hint="eastAsia"/>
                <w:sz w:val="28"/>
                <w:szCs w:val="28"/>
              </w:rPr>
              <w:t>最低价法</w:t>
            </w:r>
          </w:p>
        </w:tc>
      </w:tr>
      <w:tr>
        <w:tc>
          <w:tcPr>
            <w:tcW w:w="9060" w:type="dxa"/>
            <w:gridSpan w:val="2"/>
            <w:vAlign w:val="center"/>
          </w:tcPr>
          <w:p>
            <w:pPr>
              <w:spacing w:line="560" w:lineRule="exact"/>
              <w:jc w:val="center"/>
              <w:rPr>
                <w:rFonts w:ascii="方正仿宋_GBK" w:eastAsia="方正仿宋_GBK" w:cs="方正仿宋_GBK"/>
                <w:sz w:val="28"/>
                <w:szCs w:val="28"/>
              </w:rPr>
            </w:pPr>
            <w:r>
              <w:rPr>
                <w:rFonts w:ascii="方正楷体_GBK" w:eastAsia="方正楷体_GBK" w:cs="方正楷体_GBK" w:hint="eastAsia"/>
                <w:sz w:val="32"/>
                <w:szCs w:val="32"/>
              </w:rPr>
              <w:t>详细需求栏</w:t>
            </w:r>
          </w:p>
        </w:tc>
      </w:tr>
      <w:tr>
        <w:trPr>
          <w:trHeight w:val="1723"/>
        </w:trPr>
        <w:tc>
          <w:tcPr>
            <w:tcW w:w="2198"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说明</w:t>
            </w:r>
          </w:p>
        </w:tc>
        <w:tc>
          <w:tcPr>
            <w:tcW w:w="6862" w:type="dxa"/>
            <w:vAlign w:val="center"/>
          </w:tcPr>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sz w:val="28"/>
                <w:szCs w:val="28"/>
              </w:rPr>
              <w:t>1.不满足资格条件的响应文件将按无效响应文件处理。</w:t>
            </w:r>
          </w:p>
          <w:p>
            <w:pPr>
              <w:spacing w:line="400" w:lineRule="exact"/>
              <w:rPr>
                <w:rFonts w:ascii="方正仿宋_GBK" w:eastAsia="方正仿宋_GBK" w:cs="方正仿宋_GBK"/>
                <w:sz w:val="28"/>
                <w:szCs w:val="28"/>
              </w:rPr>
            </w:pPr>
            <w:r>
              <w:rPr>
                <w:rFonts w:ascii="Times New Roman" w:eastAsia="方正仿宋_GBK" w:cs="Times New Roman" w:hAnsi="Times New Roman"/>
                <w:sz w:val="28"/>
                <w:szCs w:val="28"/>
              </w:rPr>
              <w:t>2.</w:t>
            </w:r>
            <w:r>
              <w:rPr>
                <w:rFonts w:ascii="方正仿宋_GBK" w:eastAsia="方正仿宋_GBK" w:cs="方正仿宋_GBK" w:hint="eastAsia"/>
                <w:sz w:val="28"/>
                <w:szCs w:val="28"/>
              </w:rPr>
              <w:t>详细需求栏中所有加“★”项的需求均为实质性要求，不满足实质性要求的响应文件将按无效响应文件处理。</w:t>
            </w:r>
          </w:p>
        </w:tc>
      </w:tr>
      <w:tr>
        <w:trPr>
          <w:trHeight w:val="694"/>
        </w:trPr>
        <w:tc>
          <w:tcPr>
            <w:tcW w:w="2198"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资格条件</w:t>
            </w:r>
          </w:p>
        </w:tc>
        <w:tc>
          <w:tcPr>
            <w:tcW w:w="6862" w:type="dxa"/>
            <w:vAlign w:val="center"/>
          </w:tcPr>
          <w:p>
            <w:pPr>
              <w:spacing w:beforeAutospacing="0" w:afterAutospacing="0" w:line="400" w:lineRule="exact"/>
              <w:ind w:firstLineChars="200" w:firstLine="560"/>
              <w:rPr>
                <w:rFonts w:ascii="Times New Roman" w:eastAsia="方正仿宋_GBK" w:cs="Times New Roman" w:hAnsi="Times New Roman"/>
                <w:sz w:val="28"/>
                <w:szCs w:val="28"/>
              </w:rPr>
            </w:pPr>
            <w:r>
              <w:rPr>
                <w:rFonts w:ascii="Times New Roman" w:eastAsia="方正仿宋_GBK" w:cs="Times New Roman" w:hAnsi="Times New Roman"/>
                <w:sz w:val="28"/>
                <w:szCs w:val="28"/>
              </w:rPr>
              <w:t>1. 供应商须为在中华人民共和国境内依法注册的独立法人企业，具备有效的营业执照，能够独立承担民事责任和合同履约责任。</w:t>
            </w:r>
          </w:p>
          <w:p>
            <w:pPr>
              <w:spacing w:line="400" w:lineRule="exact"/>
              <w:ind w:firstLineChars="200" w:firstLine="560"/>
              <w:rPr>
                <w:rFonts w:ascii="Times New Roman" w:eastAsia="方正仿宋_GBK" w:cs="Times New Roman" w:hAnsi="Times New Roman"/>
                <w:sz w:val="28"/>
                <w:szCs w:val="28"/>
              </w:rPr>
            </w:pPr>
            <w:r>
              <w:rPr>
                <w:rFonts w:ascii="Times New Roman" w:eastAsia="方正仿宋_GBK" w:cs="Times New Roman" w:hAnsi="Times New Roman"/>
                <w:bCs/>
                <w:sz w:val="28"/>
                <w:szCs w:val="28"/>
              </w:rPr>
              <w:t xml:space="preserve">2. </w:t>
            </w:r>
            <w:r>
              <w:rPr>
                <w:rFonts w:ascii="Times New Roman" w:eastAsia="方正仿宋_GBK" w:cs="Times New Roman" w:hAnsi="Times New Roman"/>
                <w:sz w:val="28"/>
                <w:szCs w:val="28"/>
              </w:rPr>
              <w:t>供应商具备项目所在地售后网点，可提供现场设备安装、调试、应急抢修服务；近3年内拥有机房精密配电柜、市电输入柜、UPS输出配电柜同类供货及安装项目业绩，投标时须提供对应中标通知书、供货合同、竣工验收材料作为佐证，具备完善仓储、施工、售后技术团队，保障项目按期交付、稳定履约。</w:t>
            </w:r>
          </w:p>
          <w:p>
            <w:pPr>
              <w:spacing w:line="400" w:lineRule="exact"/>
              <w:ind w:firstLineChars="200" w:firstLine="560"/>
              <w:rPr>
                <w:rFonts w:ascii="Times New Roman" w:eastAsia="方正仿宋_GBK" w:cs="Times New Roman" w:hAnsi="Times New Roman"/>
                <w:sz w:val="28"/>
                <w:szCs w:val="28"/>
              </w:rPr>
            </w:pPr>
            <w:r>
              <w:rPr>
                <w:rFonts w:ascii="Times New Roman" w:eastAsia="方正仿宋_GBK" w:cs="Times New Roman" w:hAnsi="Times New Roman"/>
                <w:bCs/>
                <w:sz w:val="28"/>
                <w:szCs w:val="28"/>
              </w:rPr>
              <w:t xml:space="preserve">3. </w:t>
            </w:r>
            <w:r>
              <w:rPr>
                <w:rFonts w:ascii="Times New Roman" w:eastAsia="方正仿宋_GBK" w:cs="Times New Roman" w:hAnsi="Times New Roman"/>
                <w:sz w:val="28"/>
                <w:szCs w:val="28"/>
              </w:rPr>
              <w:t>供应商自有固定电气施工、配电运维技术团队，在岗人员持有低压电工、电气设备安装调试、机房配电运维等有效资格证书，持证上岗，熟练完成配电柜现场安装、接线、联调、故障排查、设备运维全流程工作。</w:t>
            </w:r>
          </w:p>
          <w:p>
            <w:pPr>
              <w:spacing w:line="400" w:lineRule="exact"/>
              <w:ind w:firstLineChars="200" w:firstLine="560"/>
              <w:rPr>
                <w:rFonts w:ascii="Times New Roman" w:eastAsia="方正仿宋_GBK" w:cs="Times New Roman" w:hAnsi="Times New Roman"/>
                <w:sz w:val="28"/>
                <w:szCs w:val="28"/>
              </w:rPr>
            </w:pPr>
            <w:r>
              <w:rPr>
                <w:rFonts w:ascii="Times New Roman" w:eastAsia="方正仿宋_GBK" w:cs="Times New Roman" w:hAnsi="Times New Roman"/>
                <w:bCs/>
                <w:sz w:val="28"/>
                <w:szCs w:val="28"/>
              </w:rPr>
              <w:t xml:space="preserve">4. </w:t>
            </w:r>
            <w:r>
              <w:rPr>
                <w:rFonts w:ascii="Times New Roman" w:eastAsia="方正仿宋_GBK" w:cs="Times New Roman" w:hAnsi="Times New Roman"/>
                <w:sz w:val="28"/>
                <w:szCs w:val="28"/>
              </w:rPr>
              <w:t>供应商未被列入“信用中国”网站失信被执行人名单、重大税收违法案件当事人名单，未被列入中国政府采购网政府采购严重违法失信行为记录名单，无重大违法违规经营记录（投标时须提供招标公告发布时间内的官网查询截图作为有效证明材料）。</w:t>
            </w:r>
          </w:p>
          <w:p>
            <w:pPr>
              <w:spacing w:line="400" w:lineRule="exact"/>
              <w:ind w:firstLineChars="200" w:firstLine="560"/>
              <w:rPr>
                <w:rFonts w:ascii="Times New Roman" w:eastAsia="方正仿宋_GBK" w:cs="Times New Roman" w:hAnsi="Times New Roman"/>
                <w:sz w:val="28"/>
                <w:szCs w:val="28"/>
              </w:rPr>
            </w:pPr>
            <w:r>
              <w:rPr>
                <w:rFonts w:ascii="Times New Roman" w:eastAsia="方正仿宋_GBK" w:cs="Times New Roman" w:hAnsi="Times New Roman"/>
                <w:bCs/>
                <w:sz w:val="28"/>
                <w:szCs w:val="28"/>
              </w:rPr>
              <w:t xml:space="preserve">5. </w:t>
            </w:r>
            <w:r>
              <w:rPr>
                <w:rFonts w:ascii="Times New Roman" w:eastAsia="方正仿宋_GBK" w:cs="Times New Roman" w:hAnsi="Times New Roman"/>
                <w:sz w:val="28"/>
                <w:szCs w:val="28"/>
              </w:rPr>
              <w:t>本项目不接受联合体投标，不允许分包、转包，不接受个体工商户及分支机构参与投标。</w:t>
            </w:r>
          </w:p>
          <w:p>
            <w:pPr>
              <w:pStyle w:val="111"/>
              <w:spacing w:line="360" w:lineRule="exact"/>
              <w:ind w:firstLineChars="200" w:firstLine="560"/>
              <w:rPr>
                <w:rFonts w:ascii="Times New Roman" w:eastAsia="方正仿宋_GBK" w:cs="Times New Roman" w:hAnsi="Times New Roman"/>
                <w:sz w:val="28"/>
                <w:szCs w:val="28"/>
              </w:rPr>
            </w:pPr>
            <w:r>
              <w:rPr>
                <w:rFonts w:ascii="Times New Roman" w:eastAsia="方正仿宋_GBK" w:cs="Times New Roman" w:hAnsi="Times New Roman"/>
                <w:sz w:val="28"/>
                <w:szCs w:val="28"/>
              </w:rPr>
              <w:t>6.供货全部设备为原厂全新正品，不接受改装机、翻新机、二手设备；交货同步提供产品出厂合格证、出厂检测报告、元器件原厂质保资料。</w:t>
            </w:r>
          </w:p>
          <w:p>
            <w:pPr>
              <w:pStyle w:val="111"/>
              <w:spacing w:line="360" w:lineRule="exact"/>
              <w:ind w:firstLineChars="200" w:firstLine="560"/>
              <w:rPr>
                <w:rFonts w:ascii="Times New Roman" w:eastAsia="方正仿宋_GBK" w:cs="Times New Roman" w:hAnsi="Times New Roman"/>
                <w:sz w:val="28"/>
                <w:szCs w:val="28"/>
              </w:rPr>
            </w:pPr>
            <w:r>
              <w:rPr>
                <w:rFonts w:ascii="Times New Roman" w:eastAsia="方正仿宋_GBK" w:cs="Times New Roman" w:hAnsi="Times New Roman"/>
                <w:sz w:val="28"/>
                <w:szCs w:val="28"/>
              </w:rPr>
              <w:t>7.供应商具备供应链安全管理体系认证、能源管理体系认证、业务连续性管理体系认证；所投配电柜整机具备国家CCC强制认证，产品通过第三方机构9烈度抗震性能检测，满足《电信设备抗震性能检测规范》标准。</w:t>
            </w:r>
          </w:p>
        </w:tc>
      </w:tr>
      <w:tr>
        <w:trPr>
          <w:trHeight w:val="1082"/>
        </w:trPr>
        <w:tc>
          <w:tcPr>
            <w:tcW w:w="2198"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w:t>
            </w:r>
          </w:p>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实质性需求</w:t>
            </w:r>
          </w:p>
        </w:tc>
        <w:tc>
          <w:tcPr>
            <w:tcW w:w="6862" w:type="dxa"/>
          </w:tcPr>
          <w:p>
            <w:pPr>
              <w:pStyle w:val="113"/>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本项目包含三套配电柜设备供货、运输、旧设备拆除、安装布线、系统联调、辅材配套、质保运维全流程，包含机房一体化配电柜、市电输入配电柜、UPS输出配电柜各1台，所有技术参数、供货安装、售后要求均为实质性条款，不满足任意一条按无效投标处理。</w:t>
            </w:r>
          </w:p>
          <w:p>
            <w:pPr>
              <w:pStyle w:val="113"/>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一、设备硬性技术参数要求</w:t>
            </w:r>
          </w:p>
          <w:p>
            <w:pPr>
              <w:pStyle w:val="113"/>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（一）机房一体化配电柜</w:t>
            </w:r>
          </w:p>
          <w:p>
            <w:pPr>
              <w:pStyle w:val="113"/>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lang w:val="en-US" w:eastAsia="zh-CN"/>
              </w:rPr>
              <w:t>1</w:t>
            </w:r>
            <w:r>
              <w:rPr>
                <w:rFonts w:ascii="Times New Roman" w:eastAsia="方正仿宋_GBK" w:cs="Times New Roman" w:hAnsi="Times New Roman" w:hint="eastAsia"/>
                <w:sz w:val="28"/>
                <w:szCs w:val="28"/>
              </w:rPr>
              <w:t>. 开关回路配置：输入回路：2×250A3P塑壳断路器(U电)、1×160A 3P塑壳断路器（市电）；输出回路：2×48×40A1P微断、6×63A3P空调配电；</w:t>
            </w:r>
          </w:p>
          <w:p>
            <w:pPr>
              <w:pStyle w:val="113"/>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lang w:val="en-US" w:eastAsia="zh-CN"/>
              </w:rPr>
              <w:t>2</w:t>
            </w:r>
            <w:r>
              <w:rPr>
                <w:rFonts w:ascii="Times New Roman" w:eastAsia="方正仿宋_GBK" w:cs="Times New Roman" w:hAnsi="Times New Roman" w:hint="eastAsia"/>
                <w:sz w:val="28"/>
                <w:szCs w:val="28"/>
              </w:rPr>
              <w:t>. 柜内母排采用高导电率纯铜导体，铜含量应满足不小于99.90%，柜体内部母排应布局合理，柜体后门打开后，母排（地排除外）易触碰部分需有PC板防护，以保证使用安全；</w:t>
            </w:r>
          </w:p>
          <w:p>
            <w:pPr>
              <w:pStyle w:val="113"/>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lang w:val="en-US" w:eastAsia="zh-CN"/>
              </w:rPr>
              <w:t>3</w:t>
            </w:r>
            <w:r>
              <w:rPr>
                <w:rFonts w:ascii="Times New Roman" w:eastAsia="方正仿宋_GBK" w:cs="Times New Roman" w:hAnsi="Times New Roman" w:hint="eastAsia"/>
                <w:sz w:val="28"/>
                <w:szCs w:val="28"/>
              </w:rPr>
              <w:t>. 配置不小于7英寸液晶彩色触摸屏，可视化的智能检测。系统模拟图可显示各开关的实时状态，可显示所有主回路及支路回路的电量信息；</w:t>
            </w:r>
          </w:p>
          <w:p>
            <w:pPr>
              <w:pStyle w:val="113"/>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lang w:val="en-US" w:eastAsia="zh-CN"/>
              </w:rPr>
              <w:t>4</w:t>
            </w:r>
            <w:r>
              <w:rPr>
                <w:rFonts w:ascii="Times New Roman" w:eastAsia="方正仿宋_GBK" w:cs="Times New Roman" w:hAnsi="Times New Roman" w:hint="eastAsia"/>
                <w:sz w:val="28"/>
                <w:szCs w:val="28"/>
              </w:rPr>
              <w:t>. 主路断路器应采用塑壳断路器，支路断路器应采用微型断路器。断路器应选用ABB、施耐德、西门子或同档次产品。配电柜应支持支路温度检测功能。配电柜内应配置C级浪涌保护器。要求N线截面应与相线相同，选用的铜母线载流量不得小于额定电流要求。PE、N线及连接排上均开有充足的模数孔用于电缆的连接。</w:t>
            </w:r>
          </w:p>
          <w:p>
            <w:pPr>
              <w:pStyle w:val="113"/>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lang w:val="en-US" w:eastAsia="zh-CN"/>
              </w:rPr>
              <w:t>5</w:t>
            </w:r>
            <w:r>
              <w:rPr>
                <w:rFonts w:ascii="Times New Roman" w:eastAsia="方正仿宋_GBK" w:cs="Times New Roman" w:hAnsi="Times New Roman" w:hint="eastAsia"/>
                <w:sz w:val="28"/>
                <w:szCs w:val="28"/>
              </w:rPr>
              <w:t>. 投标精密配电柜应通过CCC认证。投标精密配电柜应通过第三方权威机构检测。投标精密配电柜应通过CE认证。投标精密配电柜应通过8、9烈度抗震性能检测，符合信息通信设备抗震检测标准。</w:t>
            </w:r>
          </w:p>
          <w:p>
            <w:pPr>
              <w:pStyle w:val="113"/>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lang w:val="en-US" w:eastAsia="zh-CN"/>
              </w:rPr>
              <w:t>6</w:t>
            </w:r>
            <w:r>
              <w:rPr>
                <w:rFonts w:ascii="Times New Roman" w:eastAsia="方正仿宋_GBK" w:cs="Times New Roman" w:hAnsi="Times New Roman" w:hint="eastAsia"/>
                <w:sz w:val="28"/>
                <w:szCs w:val="28"/>
              </w:rPr>
              <w:t>. 含UPS回路电缆：ZC‑YJV4×95mm²+1×50mm²（160米）。含市电回路电缆：ZC‑YJV4×50mm²+1×25mm²（80米）。</w:t>
            </w:r>
          </w:p>
          <w:p>
            <w:pPr>
              <w:pStyle w:val="113"/>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lang w:val="en-US" w:eastAsia="zh-CN"/>
              </w:rPr>
              <w:t>7</w:t>
            </w:r>
            <w:r>
              <w:rPr>
                <w:rFonts w:ascii="Times New Roman" w:eastAsia="方正仿宋_GBK" w:cs="Times New Roman" w:hAnsi="Times New Roman" w:hint="eastAsia"/>
                <w:sz w:val="28"/>
                <w:szCs w:val="28"/>
              </w:rPr>
              <w:t>. 含安装所需的桥架、底座等辅材。</w:t>
            </w:r>
          </w:p>
          <w:p>
            <w:pPr>
              <w:pStyle w:val="113"/>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lang w:val="en-US" w:eastAsia="zh-CN"/>
              </w:rPr>
              <w:t>8</w:t>
            </w:r>
            <w:r>
              <w:rPr>
                <w:rFonts w:ascii="Times New Roman" w:eastAsia="方正仿宋_GBK" w:cs="Times New Roman" w:hAnsi="Times New Roman" w:hint="eastAsia"/>
                <w:sz w:val="28"/>
                <w:szCs w:val="28"/>
              </w:rPr>
              <w:t>. 含交付实施。</w:t>
            </w:r>
          </w:p>
          <w:p>
            <w:pPr>
              <w:pStyle w:val="113"/>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hint="eastAsia"/>
                <w:sz w:val="28"/>
                <w:szCs w:val="28"/>
              </w:rPr>
            </w:pPr>
          </w:p>
          <w:p>
            <w:pPr>
              <w:pStyle w:val="113"/>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（二）市电输入配电柜</w:t>
            </w:r>
          </w:p>
          <w:p>
            <w:pPr>
              <w:pStyle w:val="113"/>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1. 输入不小于630A3P塑壳开关；输出为不小于3×250A3P塑壳、2×160A3P塑壳、1×400A3P维修旁路、6×63A3P微断；</w:t>
            </w:r>
          </w:p>
          <w:p>
            <w:pPr>
              <w:pStyle w:val="113"/>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lang w:val="en-US" w:eastAsia="zh-CN"/>
              </w:rPr>
              <w:t>2</w:t>
            </w:r>
            <w:r>
              <w:rPr>
                <w:rFonts w:ascii="Times New Roman" w:eastAsia="方正仿宋_GBK" w:cs="Times New Roman" w:hAnsi="Times New Roman" w:hint="eastAsia"/>
                <w:sz w:val="28"/>
                <w:szCs w:val="28"/>
              </w:rPr>
              <w:t>. 柜内母排应采用高导电率纯铜导体，含铜量应满足不小于99.90%。</w:t>
            </w:r>
          </w:p>
          <w:p>
            <w:pPr>
              <w:pStyle w:val="113"/>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lang w:val="en-US" w:eastAsia="zh-CN"/>
              </w:rPr>
              <w:t>3</w:t>
            </w:r>
            <w:r>
              <w:rPr>
                <w:rFonts w:ascii="Times New Roman" w:eastAsia="方正仿宋_GBK" w:cs="Times New Roman" w:hAnsi="Times New Roman" w:hint="eastAsia"/>
                <w:sz w:val="28"/>
                <w:szCs w:val="28"/>
              </w:rPr>
              <w:t>. 柜体内部母排应布局合理，柜体后门打开后，母排（地排除外）易触碰部分需有PC板防护，以保证使用安全。</w:t>
            </w:r>
          </w:p>
          <w:p>
            <w:pPr>
              <w:pStyle w:val="113"/>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lang w:val="en-US" w:eastAsia="zh-CN"/>
              </w:rPr>
              <w:t>4</w:t>
            </w:r>
            <w:r>
              <w:rPr>
                <w:rFonts w:ascii="Times New Roman" w:eastAsia="方正仿宋_GBK" w:cs="Times New Roman" w:hAnsi="Times New Roman" w:hint="eastAsia"/>
                <w:sz w:val="28"/>
                <w:szCs w:val="28"/>
              </w:rPr>
              <w:t>. 应设置不小于7英寸液晶触摸屏，可视化的智能检测。系统模拟图可显示各开关和防雷器的实时状态，可显示所有主回路及支路回路的电量信息。</w:t>
            </w:r>
          </w:p>
          <w:p>
            <w:pPr>
              <w:pStyle w:val="113"/>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lang w:val="en-US" w:eastAsia="zh-CN"/>
              </w:rPr>
              <w:t>5</w:t>
            </w:r>
            <w:r>
              <w:rPr>
                <w:rFonts w:ascii="Times New Roman" w:eastAsia="方正仿宋_GBK" w:cs="Times New Roman" w:hAnsi="Times New Roman" w:hint="eastAsia"/>
                <w:sz w:val="28"/>
                <w:szCs w:val="28"/>
              </w:rPr>
              <w:t>. 应具备支路电流(A)、有功功率(kW)，负载率(%)、电能(kWh)、温度(℃)、空开状态监测。</w:t>
            </w:r>
          </w:p>
          <w:p>
            <w:pPr>
              <w:pStyle w:val="113"/>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lang w:val="en-US" w:eastAsia="zh-CN"/>
              </w:rPr>
              <w:t>6</w:t>
            </w:r>
            <w:r>
              <w:rPr>
                <w:rFonts w:ascii="Times New Roman" w:eastAsia="方正仿宋_GBK" w:cs="Times New Roman" w:hAnsi="Times New Roman" w:hint="eastAsia"/>
                <w:sz w:val="28"/>
                <w:szCs w:val="28"/>
              </w:rPr>
              <w:t>. 监控检测板应采用热插拔设计，当检测板模块出现故障时，支持不断电维护。</w:t>
            </w:r>
          </w:p>
          <w:p>
            <w:pPr>
              <w:pStyle w:val="113"/>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lang w:val="en-US" w:eastAsia="zh-CN"/>
              </w:rPr>
              <w:t>7</w:t>
            </w:r>
            <w:r>
              <w:rPr>
                <w:rFonts w:ascii="Times New Roman" w:eastAsia="方正仿宋_GBK" w:cs="Times New Roman" w:hAnsi="Times New Roman" w:hint="eastAsia"/>
                <w:sz w:val="28"/>
                <w:szCs w:val="28"/>
              </w:rPr>
              <w:t>. 主路输入开关应采用塑壳断路器，支路断路器应采用微型断路器。</w:t>
            </w:r>
          </w:p>
          <w:p>
            <w:pPr>
              <w:pStyle w:val="113"/>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lang w:val="en-US" w:eastAsia="zh-CN"/>
              </w:rPr>
              <w:t>8</w:t>
            </w:r>
            <w:r>
              <w:rPr>
                <w:rFonts w:ascii="Times New Roman" w:eastAsia="方正仿宋_GBK" w:cs="Times New Roman" w:hAnsi="Times New Roman" w:hint="eastAsia"/>
                <w:sz w:val="28"/>
                <w:szCs w:val="28"/>
              </w:rPr>
              <w:t>. 断路器应选用ABB、施耐德、西门子或同档次产品。</w:t>
            </w:r>
          </w:p>
          <w:p>
            <w:pPr>
              <w:pStyle w:val="113"/>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lang w:val="en-US" w:eastAsia="zh-CN"/>
              </w:rPr>
              <w:t>9</w:t>
            </w:r>
            <w:r>
              <w:rPr>
                <w:rFonts w:ascii="Times New Roman" w:eastAsia="方正仿宋_GBK" w:cs="Times New Roman" w:hAnsi="Times New Roman" w:hint="eastAsia"/>
                <w:sz w:val="28"/>
                <w:szCs w:val="28"/>
              </w:rPr>
              <w:t>.配电柜应支持支路温度检测和支路热插拔功能。</w:t>
            </w:r>
          </w:p>
          <w:p>
            <w:pPr>
              <w:pStyle w:val="113"/>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1</w:t>
            </w:r>
            <w:r>
              <w:rPr>
                <w:rFonts w:ascii="Times New Roman" w:eastAsia="方正仿宋_GBK" w:cs="Times New Roman" w:hAnsi="Times New Roman" w:hint="eastAsia"/>
                <w:sz w:val="28"/>
                <w:szCs w:val="28"/>
                <w:lang w:val="en-US" w:eastAsia="zh-CN"/>
              </w:rPr>
              <w:t>0</w:t>
            </w:r>
            <w:r>
              <w:rPr>
                <w:rFonts w:ascii="Times New Roman" w:eastAsia="方正仿宋_GBK" w:cs="Times New Roman" w:hAnsi="Times New Roman" w:hint="eastAsia"/>
                <w:sz w:val="28"/>
                <w:szCs w:val="28"/>
              </w:rPr>
              <w:t>.配电柜内应配置C级浪涌保护器。</w:t>
            </w:r>
          </w:p>
          <w:p>
            <w:pPr>
              <w:pStyle w:val="113"/>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hint="eastAsia"/>
                <w:sz w:val="28"/>
                <w:szCs w:val="28"/>
                <w:lang w:eastAsia="zh-CN"/>
              </w:rPr>
            </w:pPr>
            <w:r>
              <w:rPr>
                <w:rFonts w:ascii="Times New Roman" w:eastAsia="方正仿宋_GBK" w:cs="Times New Roman" w:hAnsi="Times New Roman" w:hint="eastAsia"/>
                <w:sz w:val="28"/>
                <w:szCs w:val="28"/>
              </w:rPr>
              <w:t>1</w:t>
            </w:r>
            <w:r>
              <w:rPr>
                <w:rFonts w:ascii="Times New Roman" w:eastAsia="方正仿宋_GBK" w:cs="Times New Roman" w:hAnsi="Times New Roman" w:hint="eastAsia"/>
                <w:sz w:val="28"/>
                <w:szCs w:val="28"/>
                <w:lang w:val="en-US" w:eastAsia="zh-CN"/>
              </w:rPr>
              <w:t>1</w:t>
            </w:r>
            <w:r>
              <w:rPr>
                <w:rFonts w:ascii="Times New Roman" w:eastAsia="方正仿宋_GBK" w:cs="Times New Roman" w:hAnsi="Times New Roman" w:hint="eastAsia"/>
                <w:sz w:val="28"/>
                <w:szCs w:val="28"/>
              </w:rPr>
              <w:t>.生产厂商应具有完善的项目相关产品管理能力，具备供应链安全管理体系认证、能源管理体系认证、业务连续性管理体系认证等</w:t>
            </w:r>
            <w:r>
              <w:rPr>
                <w:rFonts w:ascii="Times New Roman" w:eastAsia="方正仿宋_GBK" w:cs="Times New Roman" w:hAnsi="Times New Roman" w:hint="eastAsia"/>
                <w:sz w:val="28"/>
                <w:szCs w:val="28"/>
                <w:lang w:eastAsia="zh-CN"/>
              </w:rPr>
              <w:t>。</w:t>
            </w:r>
          </w:p>
          <w:p>
            <w:pPr>
              <w:pStyle w:val="113"/>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1</w:t>
            </w:r>
            <w:r>
              <w:rPr>
                <w:rFonts w:ascii="Times New Roman" w:eastAsia="方正仿宋_GBK" w:cs="Times New Roman" w:hAnsi="Times New Roman" w:hint="eastAsia"/>
                <w:sz w:val="28"/>
                <w:szCs w:val="28"/>
                <w:lang w:val="en-US" w:eastAsia="zh-CN"/>
              </w:rPr>
              <w:t>2</w:t>
            </w:r>
            <w:r>
              <w:rPr>
                <w:rFonts w:ascii="Times New Roman" w:eastAsia="方正仿宋_GBK" w:cs="Times New Roman" w:hAnsi="Times New Roman" w:hint="eastAsia"/>
                <w:sz w:val="28"/>
                <w:szCs w:val="28"/>
              </w:rPr>
              <w:t>.配电柜应通过CQC认证、CCC认证，并提供完整的测试报告并加盖厂家公章。</w:t>
            </w:r>
          </w:p>
          <w:p>
            <w:pPr>
              <w:pStyle w:val="113"/>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1</w:t>
            </w:r>
            <w:r>
              <w:rPr>
                <w:rFonts w:ascii="Times New Roman" w:eastAsia="方正仿宋_GBK" w:cs="Times New Roman" w:hAnsi="Times New Roman" w:hint="eastAsia"/>
                <w:sz w:val="28"/>
                <w:szCs w:val="28"/>
                <w:lang w:val="en-US" w:eastAsia="zh-CN"/>
              </w:rPr>
              <w:t>3</w:t>
            </w:r>
            <w:r>
              <w:rPr>
                <w:rFonts w:ascii="Times New Roman" w:eastAsia="方正仿宋_GBK" w:cs="Times New Roman" w:hAnsi="Times New Roman" w:hint="eastAsia"/>
                <w:sz w:val="28"/>
                <w:szCs w:val="28"/>
              </w:rPr>
              <w:t>.含外部旁路电缆：ZC‑YJV4×185mm²+1×95mm²（15米）。</w:t>
            </w:r>
          </w:p>
          <w:p>
            <w:pPr>
              <w:pStyle w:val="113"/>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1</w:t>
            </w:r>
            <w:r>
              <w:rPr>
                <w:rFonts w:ascii="Times New Roman" w:eastAsia="方正仿宋_GBK" w:cs="Times New Roman" w:hAnsi="Times New Roman" w:hint="eastAsia"/>
                <w:sz w:val="28"/>
                <w:szCs w:val="28"/>
                <w:lang w:val="en-US" w:eastAsia="zh-CN"/>
              </w:rPr>
              <w:t>4</w:t>
            </w:r>
            <w:r>
              <w:rPr>
                <w:rFonts w:ascii="Times New Roman" w:eastAsia="方正仿宋_GBK" w:cs="Times New Roman" w:hAnsi="Times New Roman" w:hint="eastAsia"/>
                <w:sz w:val="28"/>
                <w:szCs w:val="28"/>
              </w:rPr>
              <w:t>.含安装所需的桥架、底座等辅材。</w:t>
            </w:r>
          </w:p>
          <w:p>
            <w:pPr>
              <w:pStyle w:val="113"/>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1</w:t>
            </w:r>
            <w:r>
              <w:rPr>
                <w:rFonts w:ascii="Times New Roman" w:eastAsia="方正仿宋_GBK" w:cs="Times New Roman" w:hAnsi="Times New Roman" w:hint="eastAsia"/>
                <w:sz w:val="28"/>
                <w:szCs w:val="28"/>
                <w:lang w:val="en-US" w:eastAsia="zh-CN"/>
              </w:rPr>
              <w:t>5</w:t>
            </w:r>
            <w:r>
              <w:rPr>
                <w:rFonts w:ascii="Times New Roman" w:eastAsia="方正仿宋_GBK" w:cs="Times New Roman" w:hAnsi="Times New Roman" w:hint="eastAsia"/>
                <w:sz w:val="28"/>
                <w:szCs w:val="28"/>
              </w:rPr>
              <w:t>.含交付实施。</w:t>
            </w:r>
          </w:p>
          <w:p>
            <w:pPr>
              <w:pStyle w:val="113"/>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hint="eastAsia"/>
                <w:sz w:val="28"/>
                <w:szCs w:val="28"/>
              </w:rPr>
            </w:pPr>
          </w:p>
          <w:p>
            <w:pPr>
              <w:pStyle w:val="113"/>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（三）UPS电池输出配电柜</w:t>
            </w:r>
          </w:p>
          <w:p>
            <w:pPr>
              <w:pStyle w:val="113"/>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1. 输入开关不小于3×250A3P塑壳断路器；输出为不小于2×250A/3P、4×63A/3P塑壳断路器。</w:t>
            </w:r>
          </w:p>
          <w:p>
            <w:pPr>
              <w:pStyle w:val="113"/>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lang w:val="en-US" w:eastAsia="zh-CN"/>
              </w:rPr>
              <w:t>2</w:t>
            </w:r>
            <w:r>
              <w:rPr>
                <w:rFonts w:ascii="Times New Roman" w:eastAsia="方正仿宋_GBK" w:cs="Times New Roman" w:hAnsi="Times New Roman" w:hint="eastAsia"/>
                <w:sz w:val="28"/>
                <w:szCs w:val="28"/>
              </w:rPr>
              <w:t>. 柜内母排应采用高导电率纯铜导体，含铜量应满足不小于99.90%。柜体内部母排应布局合理，柜体后门打开后，母排（地排除外）易触碰部分需有PC板防护，以保证使用安全。</w:t>
            </w:r>
          </w:p>
          <w:p>
            <w:pPr>
              <w:pStyle w:val="113"/>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lang w:val="en-US" w:eastAsia="zh-CN"/>
              </w:rPr>
              <w:t>3</w:t>
            </w:r>
            <w:r>
              <w:rPr>
                <w:rFonts w:ascii="Times New Roman" w:eastAsia="方正仿宋_GBK" w:cs="Times New Roman" w:hAnsi="Times New Roman" w:hint="eastAsia"/>
                <w:sz w:val="28"/>
                <w:szCs w:val="28"/>
              </w:rPr>
              <w:t>. 应设置不小于7英寸液晶触摸屏，可视化的智能检测。系统模拟图可显示各开关和防雷器的实时状态，可显示所有主回路及支路回路的电量信息。</w:t>
            </w:r>
          </w:p>
          <w:p>
            <w:pPr>
              <w:pStyle w:val="113"/>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lang w:val="en-US" w:eastAsia="zh-CN"/>
              </w:rPr>
              <w:t>4</w:t>
            </w:r>
            <w:r>
              <w:rPr>
                <w:rFonts w:ascii="Times New Roman" w:eastAsia="方正仿宋_GBK" w:cs="Times New Roman" w:hAnsi="Times New Roman" w:hint="eastAsia"/>
                <w:sz w:val="28"/>
                <w:szCs w:val="28"/>
              </w:rPr>
              <w:t>. 应具备支路电流(A)、有功功率(kW)，负载率(%)、电能(kWh)、温度(℃)、空开状态监测。</w:t>
            </w:r>
          </w:p>
          <w:p>
            <w:pPr>
              <w:pStyle w:val="113"/>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lang w:val="en-US" w:eastAsia="zh-CN"/>
              </w:rPr>
              <w:t>5</w:t>
            </w:r>
            <w:r>
              <w:rPr>
                <w:rFonts w:ascii="Times New Roman" w:eastAsia="方正仿宋_GBK" w:cs="Times New Roman" w:hAnsi="Times New Roman" w:hint="eastAsia"/>
                <w:sz w:val="28"/>
                <w:szCs w:val="28"/>
              </w:rPr>
              <w:t>. 监控检测板应采用热插拔设计，当检测板模块出现故障时，支持不断电维护。</w:t>
            </w:r>
          </w:p>
          <w:p>
            <w:pPr>
              <w:pStyle w:val="113"/>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lang w:val="en-US" w:eastAsia="zh-CN"/>
              </w:rPr>
              <w:t>6</w:t>
            </w:r>
            <w:r>
              <w:rPr>
                <w:rFonts w:ascii="Times New Roman" w:eastAsia="方正仿宋_GBK" w:cs="Times New Roman" w:hAnsi="Times New Roman" w:hint="eastAsia"/>
                <w:sz w:val="28"/>
                <w:szCs w:val="28"/>
              </w:rPr>
              <w:t>. 主路输入开关应采用塑壳断路器，支路断路器应采用微型断路器。</w:t>
            </w:r>
          </w:p>
          <w:p>
            <w:pPr>
              <w:pStyle w:val="113"/>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lang w:val="en-US" w:eastAsia="zh-CN"/>
              </w:rPr>
              <w:t>7</w:t>
            </w:r>
            <w:r>
              <w:rPr>
                <w:rFonts w:ascii="Times New Roman" w:eastAsia="方正仿宋_GBK" w:cs="Times New Roman" w:hAnsi="Times New Roman" w:hint="eastAsia"/>
                <w:sz w:val="28"/>
                <w:szCs w:val="28"/>
              </w:rPr>
              <w:t>. 断路器应选用ABB、施耐德、西门子或同档次产品。</w:t>
            </w:r>
          </w:p>
          <w:p>
            <w:pPr>
              <w:pStyle w:val="113"/>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lang w:val="en-US" w:eastAsia="zh-CN"/>
              </w:rPr>
              <w:t>8</w:t>
            </w:r>
            <w:r>
              <w:rPr>
                <w:rFonts w:ascii="Times New Roman" w:eastAsia="方正仿宋_GBK" w:cs="Times New Roman" w:hAnsi="Times New Roman" w:hint="eastAsia"/>
                <w:sz w:val="28"/>
                <w:szCs w:val="28"/>
              </w:rPr>
              <w:t>. 配电柜应支持支路温度检测和支路热插拔功能。</w:t>
            </w:r>
          </w:p>
          <w:p>
            <w:pPr>
              <w:pStyle w:val="113"/>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lang w:val="en-US" w:eastAsia="zh-CN"/>
              </w:rPr>
              <w:t>9</w:t>
            </w:r>
            <w:r>
              <w:rPr>
                <w:rFonts w:ascii="Times New Roman" w:eastAsia="方正仿宋_GBK" w:cs="Times New Roman" w:hAnsi="Times New Roman" w:hint="eastAsia"/>
                <w:sz w:val="28"/>
                <w:szCs w:val="28"/>
              </w:rPr>
              <w:t>.配电柜内应配置C级浪涌保护器。</w:t>
            </w:r>
          </w:p>
          <w:p>
            <w:pPr>
              <w:pStyle w:val="113"/>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1</w:t>
            </w:r>
            <w:r>
              <w:rPr>
                <w:rFonts w:ascii="Times New Roman" w:eastAsia="方正仿宋_GBK" w:cs="Times New Roman" w:hAnsi="Times New Roman" w:hint="eastAsia"/>
                <w:sz w:val="28"/>
                <w:szCs w:val="28"/>
                <w:lang w:val="en-US" w:eastAsia="zh-CN"/>
              </w:rPr>
              <w:t>0</w:t>
            </w:r>
            <w:r>
              <w:rPr>
                <w:rFonts w:ascii="Times New Roman" w:eastAsia="方正仿宋_GBK" w:cs="Times New Roman" w:hAnsi="Times New Roman" w:hint="eastAsia"/>
                <w:sz w:val="28"/>
                <w:szCs w:val="28"/>
              </w:rPr>
              <w:t>.生产厂商应具有完善的项目相关产品管理能力，具备供应链安全管理体系认证、能源管理体系认证、业务连续性管理体系认证等。</w:t>
            </w:r>
          </w:p>
          <w:p>
            <w:pPr>
              <w:pStyle w:val="113"/>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1</w:t>
            </w:r>
            <w:r>
              <w:rPr>
                <w:rFonts w:ascii="Times New Roman" w:eastAsia="方正仿宋_GBK" w:cs="Times New Roman" w:hAnsi="Times New Roman" w:hint="eastAsia"/>
                <w:sz w:val="28"/>
                <w:szCs w:val="28"/>
                <w:lang w:val="en-US" w:eastAsia="zh-CN"/>
              </w:rPr>
              <w:t>1</w:t>
            </w:r>
            <w:r>
              <w:rPr>
                <w:rFonts w:ascii="Times New Roman" w:eastAsia="方正仿宋_GBK" w:cs="Times New Roman" w:hAnsi="Times New Roman" w:hint="eastAsia"/>
                <w:sz w:val="28"/>
                <w:szCs w:val="28"/>
              </w:rPr>
              <w:t>.配电柜应通过CQC认证、CCC认证，并提供完整的测试报告并加盖厂家公章。</w:t>
            </w:r>
          </w:p>
          <w:p>
            <w:pPr>
              <w:pStyle w:val="113"/>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1</w:t>
            </w:r>
            <w:r>
              <w:rPr>
                <w:rFonts w:ascii="Times New Roman" w:eastAsia="方正仿宋_GBK" w:cs="Times New Roman" w:hAnsi="Times New Roman" w:hint="eastAsia"/>
                <w:sz w:val="28"/>
                <w:szCs w:val="28"/>
                <w:lang w:val="en-US" w:eastAsia="zh-CN"/>
              </w:rPr>
              <w:t>2</w:t>
            </w:r>
            <w:r>
              <w:rPr>
                <w:rFonts w:ascii="Times New Roman" w:eastAsia="方正仿宋_GBK" w:cs="Times New Roman" w:hAnsi="Times New Roman" w:hint="eastAsia"/>
                <w:sz w:val="28"/>
                <w:szCs w:val="28"/>
              </w:rPr>
              <w:t>.按照标准YD5083‑2005《电信设备抗震性能检测规范》要求，通过不低于9烈度结构抗地震考核。</w:t>
            </w:r>
          </w:p>
          <w:p>
            <w:pPr>
              <w:pStyle w:val="113"/>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1</w:t>
            </w:r>
            <w:r>
              <w:rPr>
                <w:rFonts w:ascii="Times New Roman" w:eastAsia="方正仿宋_GBK" w:cs="Times New Roman" w:hAnsi="Times New Roman" w:hint="eastAsia"/>
                <w:sz w:val="28"/>
                <w:szCs w:val="28"/>
                <w:lang w:val="en-US" w:eastAsia="zh-CN"/>
              </w:rPr>
              <w:t>3</w:t>
            </w:r>
            <w:r>
              <w:rPr>
                <w:rFonts w:ascii="Times New Roman" w:eastAsia="方正仿宋_GBK" w:cs="Times New Roman" w:hAnsi="Times New Roman" w:hint="eastAsia"/>
                <w:sz w:val="28"/>
                <w:szCs w:val="28"/>
              </w:rPr>
              <w:t>.含安装所需的桥架、底座等辅材。</w:t>
            </w:r>
          </w:p>
          <w:p>
            <w:pPr>
              <w:pStyle w:val="113"/>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1</w:t>
            </w:r>
            <w:r>
              <w:rPr>
                <w:rFonts w:ascii="Times New Roman" w:eastAsia="方正仿宋_GBK" w:cs="Times New Roman" w:hAnsi="Times New Roman" w:hint="eastAsia"/>
                <w:sz w:val="28"/>
                <w:szCs w:val="28"/>
                <w:lang w:val="en-US" w:eastAsia="zh-CN"/>
              </w:rPr>
              <w:t>4</w:t>
            </w:r>
            <w:r>
              <w:rPr>
                <w:rFonts w:ascii="Times New Roman" w:eastAsia="方正仿宋_GBK" w:cs="Times New Roman" w:hAnsi="Times New Roman" w:hint="eastAsia"/>
                <w:sz w:val="28"/>
                <w:szCs w:val="28"/>
              </w:rPr>
              <w:t>.含交付实施。</w:t>
            </w:r>
          </w:p>
          <w:p>
            <w:pPr>
              <w:pStyle w:val="113"/>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sz w:val="28"/>
                <w:szCs w:val="28"/>
              </w:rPr>
            </w:pPr>
            <w:r>
              <w:rPr>
                <w:rFonts w:ascii="Times New Roman" w:eastAsia="方正仿宋_GBK" w:cs="Times New Roman" w:hAnsi="Times New Roman"/>
                <w:sz w:val="28"/>
                <w:szCs w:val="28"/>
              </w:rPr>
              <w:t>二、供货、拆除、安装、调试硬性要求</w:t>
            </w:r>
          </w:p>
          <w:p>
            <w:pPr>
              <w:pStyle w:val="113"/>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sz w:val="28"/>
                <w:szCs w:val="28"/>
              </w:rPr>
            </w:pPr>
            <w:r>
              <w:rPr>
                <w:rFonts w:ascii="Times New Roman" w:eastAsia="方正仿宋_GBK" w:cs="Times New Roman" w:hAnsi="Times New Roman"/>
                <w:sz w:val="28"/>
                <w:szCs w:val="28"/>
              </w:rPr>
              <w:t>1. 所有供货设备、元器件、线缆、辅材必须100%响应招标文件全部技术参数；设备到场后，中标供应商原厂技术人员配合采购人逐项现场核验，任意一项参数不达标，采购人有权拒收设备、解除合同并追究违约责任。</w:t>
            </w:r>
          </w:p>
          <w:p>
            <w:pPr>
              <w:pStyle w:val="113"/>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sz w:val="28"/>
                <w:szCs w:val="28"/>
              </w:rPr>
            </w:pPr>
            <w:r>
              <w:rPr>
                <w:rFonts w:ascii="Times New Roman" w:eastAsia="方正仿宋_GBK" w:cs="Times New Roman" w:hAnsi="Times New Roman"/>
                <w:sz w:val="28"/>
                <w:szCs w:val="28"/>
              </w:rPr>
              <w:t>2. 中标供应商在交付实施期间，必须指派1名专职项目经理 （项目经理应具备所投产品的交付资质证书），全权统筹现场设备原有老旧配电柜拆除、搬运、收纳处置；新配电柜就位固定、桥架安装、电缆敷设接线、接地防雷施工、整机上电联调、配电系统试运行，并提供设备安装所需的材料，含线缆及其他配套，保证系统的安全性及可用性；运输、人工、耗材、垃圾清运等所有费用全部包含在投标报价内，采购人无需额外付费。</w:t>
            </w:r>
          </w:p>
          <w:p>
            <w:pPr>
              <w:spacing w:line="400" w:lineRule="exact"/>
              <w:ind w:left="0" w:firstLineChars="200" w:firstLine="560"/>
              <w:rPr>
                <w:rFonts w:ascii="Times New Roman" w:eastAsia="方正仿宋_GBK" w:cs="Times New Roman" w:hAnsi="Times New Roman"/>
                <w:sz w:val="28"/>
                <w:szCs w:val="28"/>
              </w:rPr>
            </w:pPr>
            <w:r>
              <w:rPr>
                <w:rFonts w:ascii="Times New Roman" w:eastAsia="方正仿宋_GBK" w:cs="Times New Roman" w:hAnsi="Times New Roman"/>
                <w:sz w:val="28"/>
                <w:szCs w:val="28"/>
              </w:rPr>
              <w:t>3. 本项目为交钥匙工程，全部设备安装、布线、调试完毕后，出具完整竣工图纸、设备检测记录、调试报告，完成整体交付。</w:t>
            </w:r>
          </w:p>
          <w:p>
            <w:pPr>
              <w:spacing w:line="400" w:lineRule="exact"/>
              <w:ind w:left="0" w:firstLineChars="200" w:firstLine="560"/>
              <w:rPr>
                <w:rFonts w:ascii="Times New Roman" w:eastAsia="方正仿宋_GBK" w:cs="Times New Roman" w:hAnsi="Times New Roman"/>
                <w:sz w:val="28"/>
                <w:szCs w:val="28"/>
              </w:rPr>
            </w:pPr>
            <w:r>
              <w:rPr>
                <w:rFonts w:ascii="Times New Roman" w:eastAsia="方正仿宋_GBK" w:cs="Times New Roman" w:hAnsi="Times New Roman"/>
                <w:sz w:val="28"/>
                <w:szCs w:val="28"/>
              </w:rPr>
              <w:t>4、交货时须随货提供官方产品合格证等材料。本项目不接受拆机、二手等非官方产品，供货设备必须为全新原装未拆封正品。设备型号、参数、序列号等信息可通过官方渠道核验，核验信息与采购需求不一致的，按来源不明货物作拒收处理。</w:t>
            </w:r>
          </w:p>
          <w:p>
            <w:pPr>
              <w:pStyle w:val="117"/>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sz w:val="28"/>
                <w:szCs w:val="28"/>
              </w:rPr>
            </w:pPr>
            <w:r>
              <w:rPr>
                <w:rFonts w:ascii="Times New Roman" w:eastAsia="方正仿宋_GBK" w:cs="Times New Roman" w:hAnsi="Times New Roman"/>
                <w:sz w:val="28"/>
                <w:szCs w:val="28"/>
              </w:rPr>
              <w:t>三、售后服务实质性硬性条款</w:t>
            </w:r>
          </w:p>
          <w:p>
            <w:pPr>
              <w:pStyle w:val="117"/>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sz w:val="28"/>
                <w:szCs w:val="28"/>
              </w:rPr>
            </w:pPr>
            <w:r>
              <w:rPr>
                <w:rFonts w:ascii="Times New Roman" w:eastAsia="方正仿宋_GBK" w:cs="Times New Roman" w:hAnsi="Times New Roman"/>
                <w:sz w:val="28"/>
                <w:szCs w:val="28"/>
              </w:rPr>
              <w:t>1. 本地售后网点要求：供应商在项目所在地设有常驻售后服务网点，整机免费质保3年；</w:t>
            </w:r>
          </w:p>
          <w:p>
            <w:pPr>
              <w:pStyle w:val="117"/>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sz w:val="28"/>
                <w:szCs w:val="28"/>
              </w:rPr>
            </w:pPr>
            <w:r>
              <w:rPr>
                <w:rFonts w:ascii="Times New Roman" w:eastAsia="方正仿宋_GBK" w:cs="Times New Roman" w:hAnsi="Times New Roman"/>
                <w:sz w:val="28"/>
                <w:szCs w:val="28"/>
              </w:rPr>
              <w:t>2. 故障响应时效：提供7×24小时全天候电话技术支持；接到故障报修后12小时内专业工程师抵达现场上门维修处置，3年内免费更换故障元器件、免费上门维修；</w:t>
            </w:r>
          </w:p>
          <w:p>
            <w:pPr>
              <w:pStyle w:val="117"/>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sz w:val="28"/>
                <w:szCs w:val="28"/>
              </w:rPr>
            </w:pPr>
            <w:r>
              <w:rPr>
                <w:rFonts w:ascii="Times New Roman" w:eastAsia="方正仿宋_GBK" w:cs="Times New Roman" w:hAnsi="Times New Roman"/>
                <w:sz w:val="28"/>
                <w:szCs w:val="28"/>
              </w:rPr>
              <w:t>3. 现场实操培训：设备安装调试交付完成后，供应商安排持证电气工程师，对甲方运维人员开展不少于2次现场实操培训，内容包含配电柜日常操作、负载查看、故障识别、基础检修、定期维护全流程；</w:t>
            </w:r>
          </w:p>
          <w:p>
            <w:pPr>
              <w:pStyle w:val="117"/>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sz w:val="28"/>
                <w:szCs w:val="28"/>
              </w:rPr>
            </w:pPr>
            <w:r>
              <w:rPr>
                <w:rFonts w:ascii="Times New Roman" w:eastAsia="方正仿宋_GBK" w:cs="Times New Roman" w:hAnsi="Times New Roman"/>
                <w:sz w:val="28"/>
                <w:szCs w:val="28"/>
              </w:rPr>
              <w:t>4. 质保期巡检服务：3年质保期内常态化机房配电系统巡检；定期对三台配电柜开展内部除尘、接线紧固、负载参数校准、温湿度调校；排查线缆老化、电流异常、防雷失效、开关发热等安全隐患，建立完整巡检台账、闭环归档，保障机房市电、UPS配电系统全年24小时不间断安全稳定运行。</w:t>
            </w:r>
          </w:p>
          <w:p>
            <w:pPr>
              <w:pStyle w:val="117"/>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sz w:val="28"/>
                <w:szCs w:val="28"/>
              </w:rPr>
            </w:pPr>
            <w:r>
              <w:rPr>
                <w:rFonts w:ascii="Times New Roman" w:eastAsia="方正仿宋_GBK" w:cs="Times New Roman" w:hAnsi="Times New Roman"/>
                <w:sz w:val="28"/>
                <w:szCs w:val="28"/>
              </w:rPr>
              <w:t>四、项目约束要求</w:t>
            </w:r>
          </w:p>
          <w:p>
            <w:pPr>
              <w:pStyle w:val="117"/>
              <w:pBdr>
                <w:top w:val="none" w:sz="0" w:space="0" w:color="auto"/>
                <w:left w:val="none" w:sz="0" w:space="0" w:color="auto"/>
                <w:bottom w:val="none" w:sz="0" w:space="0" w:color="auto"/>
                <w:right w:val="none" w:sz="0" w:space="0" w:color="auto"/>
              </w:pBdr>
              <w:spacing w:line="400" w:lineRule="exact"/>
              <w:ind w:firstLineChars="200" w:firstLine="560"/>
              <w:jc w:val="left"/>
              <w:rPr>
                <w:rFonts w:ascii="Times New Roman" w:eastAsia="方正仿宋_GBK" w:cs="Times New Roman" w:hAnsi="Times New Roman"/>
                <w:sz w:val="28"/>
                <w:szCs w:val="28"/>
              </w:rPr>
            </w:pPr>
            <w:r>
              <w:rPr>
                <w:rFonts w:ascii="Times New Roman" w:eastAsia="方正仿宋_GBK" w:cs="Times New Roman" w:hAnsi="Times New Roman"/>
                <w:sz w:val="28"/>
                <w:szCs w:val="28"/>
              </w:rPr>
              <w:t>1. 项目供货、拆除、安装、调试全过程严禁转包、分包，一经查实采购人有权直接终止合同，扣除全部履约保证金；</w:t>
            </w:r>
          </w:p>
          <w:p>
            <w:pPr>
              <w:spacing w:line="400" w:lineRule="exact"/>
              <w:ind w:firstLineChars="200" w:firstLine="560"/>
              <w:rPr>
                <w:rFonts w:ascii="Times New Roman" w:eastAsia="方正仿宋_GBK" w:cs="Times New Roman" w:hAnsi="Times New Roman"/>
                <w:sz w:val="28"/>
                <w:szCs w:val="28"/>
              </w:rPr>
            </w:pPr>
            <w:r>
              <w:rPr>
                <w:rFonts w:ascii="Times New Roman" w:eastAsia="方正仿宋_GBK" w:cs="Times New Roman" w:hAnsi="Times New Roman"/>
                <w:sz w:val="28"/>
                <w:szCs w:val="28"/>
              </w:rPr>
              <w:t>2. 设备合格证、原厂检测报告、巡检记录、培训签到表、质保承诺函、竣工资料等全套资料统一归档，作为国库支付、审计核查必备材料。</w:t>
            </w:r>
          </w:p>
        </w:tc>
      </w:tr>
      <w:tr>
        <w:trPr>
          <w:trHeight w:val="610"/>
        </w:trPr>
        <w:tc>
          <w:tcPr>
            <w:tcW w:w="2198" w:type="dxa"/>
            <w:vAlign w:val="center"/>
          </w:tcPr>
          <w:p>
            <w:pPr>
              <w:spacing w:line="560" w:lineRule="exact"/>
              <w:jc w:val="center"/>
              <w:rPr>
                <w:rFonts w:ascii="Times New Roman" w:eastAsia="方正仿宋_GBK" w:cs="Times New Roman" w:hAnsi="Times New Roman"/>
                <w:sz w:val="28"/>
                <w:szCs w:val="28"/>
              </w:rPr>
            </w:pPr>
            <w:r>
              <w:rPr>
                <w:rFonts w:ascii="Times New Roman" w:eastAsia="方正仿宋_GBK" w:cs="Times New Roman" w:hAnsi="Times New Roman" w:hint="eastAsia"/>
                <w:sz w:val="28"/>
                <w:szCs w:val="28"/>
              </w:rPr>
              <w:t>评审因素</w:t>
            </w:r>
          </w:p>
        </w:tc>
        <w:tc>
          <w:tcPr>
            <w:tcW w:w="6862" w:type="dxa"/>
            <w:vAlign w:val="center"/>
          </w:tcPr>
          <w:p>
            <w:pPr>
              <w:spacing w:line="400" w:lineRule="exact"/>
              <w:jc w:val="both"/>
              <w:rPr>
                <w:rFonts w:ascii="Times New Roman" w:eastAsia="方正仿宋_GBK" w:cs="Times New Roman" w:hAnsi="Times New Roman"/>
                <w:sz w:val="28"/>
                <w:szCs w:val="28"/>
              </w:rPr>
            </w:pPr>
            <w:r>
              <w:rPr>
                <w:rFonts w:ascii="方正仿宋_GBK" w:eastAsia="方正仿宋_GBK" w:cs="方正仿宋_GBK" w:hint="eastAsia"/>
                <w:sz w:val="28"/>
                <w:szCs w:val="28"/>
              </w:rPr>
              <w:t>√最低价法</w:t>
            </w:r>
          </w:p>
        </w:tc>
      </w:tr>
    </w:tbl>
    <w:p>
      <w:pPr>
        <w:rPr>
          <w:rFonts w:ascii="方正仿宋_GBK" w:eastAsia="方正仿宋_GBK" w:cs="方正仿宋_GBK"/>
          <w:sz w:val="32"/>
          <w:szCs w:val="32"/>
        </w:rPr>
      </w:pPr>
    </w:p>
    <w:p>
      <w:pPr>
        <w:spacing w:line="560" w:lineRule="exact"/>
        <w:rPr>
          <w:rFonts w:ascii="方正仿宋_GBK" w:eastAsia="方正仿宋_GBK" w:cs="方正仿宋_GBK"/>
          <w:sz w:val="32"/>
          <w:szCs w:val="32"/>
        </w:rPr>
      </w:pPr>
    </w:p>
    <w:sectPr>
      <w:footerReference w:type="default" r:id="rId2"/>
      <w:footerReference w:type="even" r:id="rId3"/>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黑体_GBK">
    <w:panose1 w:val="02000000000000000000"/>
    <w:charset w:val="86"/>
    <w:family w:val="script"/>
    <w:pitch w:val="variable"/>
    <w:sig w:usb0="A00002BF" w:usb1="38CF7CFA" w:usb2="00082016" w:usb3="00000000" w:csb0="00040001" w:csb1="00000000"/>
  </w:font>
  <w:font w:name="方正小标宋_GBK">
    <w:panose1 w:val="02000000000000000000"/>
    <w:charset w:val="86"/>
    <w:family w:val="script"/>
    <w:pitch w:val="variable"/>
    <w:sig w:usb0="A00002BF" w:usb1="38CF7CFA" w:usb2="00082016" w:usb3="00000000" w:csb0="00040001" w:csb1="00000000"/>
  </w:font>
  <w:font w:name="方正楷体_GBK">
    <w:panose1 w:val="02000000000000000000"/>
    <w:charset w:val="86"/>
    <w:family w:val="script"/>
    <w:pitch w:val="variable"/>
    <w:sig w:usb0="00000001" w:usb1="08000000" w:usb2="00000000" w:usb3="00000000" w:csb0="00040000" w:csb1="00000000"/>
  </w:font>
  <w:font w:name="方正仿宋_GBK">
    <w:panose1 w:val="02000000000000000000"/>
    <w:charset w:val="86"/>
    <w:family w:val="script"/>
    <w:pitch w:val="variable"/>
    <w:sig w:usb0="00000001" w:usb1="08000000" w:usb2="00000000" w:usb3="00000000" w:csb0="00040000" w:csb1="00000000"/>
  </w:font>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variable"/>
    <w:sig w:usb0="00000003" w:usb1="080E0000" w:usb2="00000000" w:usb3="00000000" w:csb0="00040001" w:csb1="00000000"/>
  </w:font>
  <w:font w:name="Calibri">
    <w:altName w:val="DejaVu Sans"/>
    <w:panose1 w:val="020F0502020204030204"/>
    <w:charset w:val="00"/>
    <w:family w:val="swiss"/>
    <w:pitch w:val="variable"/>
    <w:sig w:usb0="00000000" w:usb1="00000000" w:usb2="00000001" w:usb3="00000000" w:csb0="0000019F" w:csb1="00000000"/>
  </w:font>
  <w:font w:name="Arial">
    <w:altName w:val="Times New Roman"/>
    <w:panose1 w:val="020B0604020202020204"/>
    <w:charset w:val="01"/>
    <w:family w:val="swiss"/>
    <w:pitch w:val="variable"/>
    <w:sig w:usb0="E0002AFF" w:usb1="C0007843" w:usb2="00000009" w:usb3="00000000" w:csb0="400001FF" w:csb1="FFFF0000"/>
  </w:font>
  <w:font w:name="Lucida Sans">
    <w:altName w:val="DejaVu Sans"/>
    <w:panose1 w:val="020B0602030504020204"/>
    <w:charset w:val="00"/>
    <w:family w:val="auto"/>
    <w:pitch w:val="variable"/>
    <w:sig w:usb0="00000000" w:usb1="00000000" w:usb2="00000000" w:usb3="00000000" w:csb0="20000001"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7"/>
      <w:framePr w:w="0" w:hRule="auto" w:wrap="around" w:vAnchor="text" w:hAnchor="margin" w:xAlign="right" w:y="1" w:anchorLock="0"/>
      <w:tabs>
        <w:tab w:val="center" w:pos="4153"/>
        <w:tab w:val="right" w:pos="8306"/>
      </w:tabs>
    </w:pPr>
    <w:r>
      <w:rPr>
        <w:rStyle w:val="25"/>
      </w:rPr>
      <w:fldChar w:fldCharType="begin"/>
    </w:r>
    <w:r>
      <w:rPr>
        <w:rStyle w:val="25"/>
      </w:rPr>
      <w:instrText>Page</w:instrText>
    </w:r>
    <w:r>
      <w:rPr>
        <w:rStyle w:val="25"/>
      </w:rPr>
      <w:fldChar w:fldCharType="separate"/>
    </w:r>
    <w:r>
      <w:rPr>
        <w:rStyle w:val="25"/>
      </w:rPr>
      <w:t>3</w:t>
    </w:r>
    <w:r>
      <w:rPr>
        <w:rStyle w:val="25"/>
      </w:rPr>
      <w:fldChar w:fldCharType="end"/>
    </w:r>
  </w:p>
  <w:p>
    <w:pPr>
      <w:pStyle w:val="17"/>
      <w:tabs>
        <w:tab w:val="center" w:pos="4153"/>
        <w:tab w:val="right" w:pos="8306"/>
      </w:tabs>
      <w:ind w:right="360"/>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7"/>
      <w:framePr w:w="0" w:hRule="auto" w:wrap="around" w:vAnchor="text" w:hAnchor="margin" w:xAlign="right" w:y="1" w:anchorLock="0"/>
      <w:tabs>
        <w:tab w:val="center" w:pos="4153"/>
        <w:tab w:val="right" w:pos="8306"/>
      </w:tabs>
    </w:pPr>
    <w:r>
      <w:rPr>
        <w:rStyle w:val="25"/>
      </w:rPr>
      <w:fldChar w:fldCharType="begin"/>
    </w:r>
    <w:r>
      <w:rPr>
        <w:rStyle w:val="25"/>
      </w:rPr>
      <w:instrText>Page</w:instrText>
    </w:r>
    <w:r>
      <w:rPr>
        <w:rStyle w:val="25"/>
      </w:rPr>
      <w:fldChar w:fldCharType="separate"/>
    </w:r>
    <w:r>
      <w:rPr>
        <w:rStyle w:val="25"/>
      </w:rPr>
      <w:t>1</w:t>
    </w:r>
    <w:r>
      <w:rPr>
        <w:rStyle w:val="25"/>
      </w:rPr>
      <w:fldChar w:fldCharType="end"/>
    </w:r>
  </w:p>
  <w:p>
    <w:pPr>
      <w:pStyle w:val="17"/>
      <w:tabs>
        <w:tab w:val="center" w:pos="4153"/>
        <w:tab w:val="right" w:pos="8306"/>
      </w:tabs>
      <w:ind w:right="360"/>
    </w:pP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86"/>
  <w:doNotDisplayPageBoundaries/>
  <w:bordersDoNotSurroundHeader w:val="0"/>
  <w:bordersDoNotSurroundFooter w:val="0"/>
  <w:trackRevisions/>
  <w:defaultTabStop w:val="420"/>
  <w:drawingGridHorizontalSpacing w:val="105"/>
  <w:drawingGridVerticalSpacing w:val="156"/>
  <w:displayHorizontalDrawingGridEvery w:val="1"/>
  <w:displayVerticalDrawingGridEvery w:val="1"/>
  <w:noPunctuationKerning/>
  <w:characterSpacingControl w:val="compressPunctuation"/>
  <w:compat>
    <w:spaceForUL/>
    <w:balanceSingleByteDoubleByteWidth/>
    <w:ulTrailSpace/>
    <w:doNotExpandShiftReturn/>
    <w:adjustLineHeightInTable/>
    <w:compatSetting w:name="compatibilityMode" w:uri="http://schemas.microsoft.com/office/word" w:val="14"/>
  </w:compat>
  <w:docVars>
    <w:docVar w:name="commondata" w:val="eyJoZGlkIjoiOWRlNmFjNTE0YmQzNDgwNGMxODI4OWJlYzRjMWE3MTc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4"/>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100" w:beforeAutospacing="1" w:after="100" w:afterAutospacing="1" w:line="240" w:lineRule="auto"/>
      <w:ind w:left="0" w:right="0" w:firstLine="0"/>
      <w:contextualSpacing w:val="0"/>
      <w:jc w:val="left"/>
      <w:textAlignment w:val="auto"/>
      <w:outlineLvl w:val="1"/>
    </w:pPr>
    <w:rPr>
      <w:rFonts w:ascii="宋体" w:eastAsia="宋体"/>
      <w:b/>
      <w:snapToGrid/>
      <w:color w:val="auto"/>
      <w:spacing w:val="0"/>
      <w:w w:val="100"/>
      <w:kern w:val="0"/>
      <w:position w:val="0"/>
      <w:sz w:val="36"/>
      <w:u w:val="none" w:color="auto"/>
      <w:shd w:val="clear" w:color="auto" w:fill="auto"/>
      <w:vertAlign w:val="baseline"/>
      <w:lang w:val="en-US" w:eastAsia="zh-CN"/>
    </w:rPr>
  </w:style>
  <w:style w:type="paragraph" w:styleId="3">
    <w:name w:val="heading 3"/>
    <w:basedOn w:val="0"/>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100" w:beforeAutospacing="1" w:after="100" w:afterAutospacing="1" w:line="240" w:lineRule="auto"/>
      <w:ind w:left="0" w:right="0" w:firstLine="0"/>
      <w:contextualSpacing w:val="0"/>
      <w:jc w:val="left"/>
      <w:textAlignment w:val="auto"/>
      <w:outlineLvl w:val="2"/>
    </w:pPr>
    <w:rPr>
      <w:rFonts w:ascii="宋体" w:eastAsia="宋体"/>
      <w:b/>
      <w:snapToGrid/>
      <w:color w:val="auto"/>
      <w:spacing w:val="0"/>
      <w:w w:val="100"/>
      <w:kern w:val="0"/>
      <w:position w:val="0"/>
      <w:sz w:val="27"/>
      <w:u w:val="none" w:color="auto"/>
      <w:shd w:val="clear" w:color="auto" w:fill="auto"/>
      <w:vertAlign w:val="baseline"/>
      <w:lang w:val="en-US" w:eastAsia="zh-CN"/>
    </w:rPr>
  </w:style>
  <w:style w:type="character" w:default="1" w:styleId="10">
    <w:name w:val="Default Paragraph Font"/>
  </w:style>
  <w:style w:type="paragraph" w:styleId="15">
    <w:name w:val="annotation text"/>
    <w:pPr>
      <w:widowControl w:val="0"/>
    </w:pPr>
    <w:rPr>
      <w:rFonts w:ascii="Calibri" w:eastAsia="宋体" w:cs="Arial" w:hAnsi="Calibri"/>
      <w:kern w:val="2"/>
      <w:sz w:val="21"/>
      <w:szCs w:val="24"/>
      <w:lang w:val="en-US" w:eastAsia="zh-CN" w:bidi="ar-SA"/>
    </w:rPr>
  </w:style>
  <w:style w:type="paragraph" w:styleId="16">
    <w:name w:val="Balloon Text"/>
    <w:basedOn w:val="0"/>
    <w:rPr>
      <w:sz w:val="18"/>
      <w:szCs w:val="18"/>
    </w:rPr>
  </w:style>
  <w:style w:type="paragraph" w:styleId="17">
    <w:name w:val="footer"/>
    <w:basedOn w:val="0"/>
    <w:pPr>
      <w:tabs>
        <w:tab w:val="center" w:pos="4153"/>
        <w:tab w:val="right" w:pos="8306"/>
      </w:tabs>
      <w:snapToGrid w:val="0"/>
      <w:jc w:val="left"/>
    </w:pPr>
    <w:rPr>
      <w:sz w:val="18"/>
      <w:szCs w:val="18"/>
    </w:rPr>
  </w:style>
  <w:style w:type="paragraph" w:styleId="18">
    <w:name w:val="header"/>
    <w:basedOn w:val="0"/>
    <w:pPr>
      <w:pBdr>
        <w:bottom w:val="single" w:sz="6" w:space="1" w:color="auto"/>
      </w:pBdr>
      <w:tabs>
        <w:tab w:val="center" w:pos="4153"/>
        <w:tab w:val="right" w:pos="8306"/>
      </w:tabs>
      <w:snapToGrid w:val="0"/>
      <w:jc w:val="center"/>
    </w:pPr>
    <w:rPr>
      <w:sz w:val="18"/>
      <w:szCs w:val="18"/>
    </w:rPr>
  </w:style>
  <w:style w:type="paragraph" w:styleId="19">
    <w:name w:val="index heading"/>
    <w:basedOn w:val="0"/>
    <w:rPr>
      <w:rFonts w:ascii="Arial" w:hAnsi="Arial"/>
      <w:b/>
    </w:rPr>
  </w:style>
  <w:style w:type="paragraph" w:styleId="20">
    <w:name w:val="List 5"/>
    <w:basedOn w:val="0"/>
    <w:pPr>
      <w:ind w:left="2100" w:hanging="420"/>
    </w:pPr>
  </w:style>
  <w:style w:type="paragraph" w:styleId="21">
    <w:name w:val="index 7"/>
    <w:basedOn w:val="0"/>
    <w:autoRedefine/>
    <w:next w:val="0"/>
    <w:pPr>
      <w:ind w:left="2520"/>
    </w:pPr>
  </w:style>
  <w:style w:type="paragraph" w:styleId="22">
    <w:name w:val="Normal (Web)"/>
    <w:next w:val="20"/>
    <w:pPr>
      <w:widowControl w:val="0"/>
      <w:spacing w:before="100" w:beforeAutospacing="1" w:after="100" w:afterAutospacing="1"/>
    </w:pPr>
    <w:rPr>
      <w:rFonts w:ascii="宋体" w:eastAsia="宋体" w:cs="Times New Roman"/>
      <w:kern w:val="2"/>
      <w:sz w:val="24"/>
      <w:szCs w:val="24"/>
      <w:lang w:val="en-US" w:eastAsia="zh-CN" w:bidi="ar-SA"/>
    </w:rPr>
  </w:style>
  <w:style w:type="paragraph" w:styleId="23">
    <w:name w:val="annotation subject"/>
    <w:next w:val="15"/>
    <w:pPr>
      <w:widowControl w:val="0"/>
    </w:pPr>
    <w:rPr>
      <w:rFonts w:ascii="Calibri" w:eastAsia="宋体" w:cs="Arial" w:hAnsi="Calibri"/>
      <w:b/>
      <w:kern w:val="2"/>
      <w:sz w:val="21"/>
      <w:szCs w:val="24"/>
      <w:lang w:val="en-US" w:eastAsia="zh-CN" w:bidi="ar-SA"/>
    </w:rPr>
  </w:style>
  <w:style w:type="character" w:styleId="24">
    <w:name w:val="Strong"/>
    <w:basedOn w:val="10"/>
    <w:rPr>
      <w:b/>
      <w:bCs/>
    </w:rPr>
  </w:style>
  <w:style w:type="character" w:styleId="25">
    <w:name w:val="page number"/>
    <w:basedOn w:val="10"/>
  </w:style>
  <w:style w:type="character" w:styleId="26">
    <w:name w:val="annotation reference"/>
    <w:basedOn w:val="10"/>
    <w:rPr>
      <w:sz w:val="21"/>
      <w:szCs w:val="21"/>
    </w:rPr>
  </w:style>
  <w:style w:type="paragraph" w:customStyle="1" w:styleId="27">
    <w:name w:val="样式 10 磅"/>
    <w:pPr>
      <w:widowControl w:val="0"/>
      <w:jc w:val="both"/>
    </w:pPr>
    <w:rPr>
      <w:rFonts w:ascii="Calibri" w:eastAsia="宋体" w:cs="Arial" w:hAnsi="Calibri"/>
      <w:kern w:val="2"/>
      <w:sz w:val="21"/>
      <w:szCs w:val="24"/>
      <w:lang w:val="en-US" w:eastAsia="zh-CN" w:bidi="ar-SA"/>
    </w:rPr>
  </w:style>
  <w:style w:type="paragraph" w:customStyle="1" w:styleId="28">
    <w:name w:val="样式 1 10 磅"/>
    <w:pPr>
      <w:widowControl w:val="0"/>
      <w:jc w:val="both"/>
    </w:pPr>
    <w:rPr>
      <w:rFonts w:ascii="Calibri" w:eastAsia="宋体" w:cs="Arial" w:hAnsi="Calibri"/>
      <w:kern w:val="2"/>
      <w:sz w:val="21"/>
      <w:szCs w:val="24"/>
      <w:lang w:val="en-US" w:eastAsia="zh-CN" w:bidi="ar-SA"/>
    </w:rPr>
  </w:style>
  <w:style w:type="paragraph" w:customStyle="1" w:styleId="29">
    <w:name w:val="样式 2 10 磅"/>
    <w:pPr>
      <w:widowControl w:val="0"/>
      <w:jc w:val="both"/>
    </w:pPr>
    <w:rPr>
      <w:rFonts w:ascii="Calibri" w:eastAsia="宋体" w:cs="Arial" w:hAnsi="Calibri"/>
      <w:kern w:val="2"/>
      <w:sz w:val="21"/>
      <w:szCs w:val="24"/>
      <w:lang w:val="en-US" w:eastAsia="zh-CN" w:bidi="ar-SA"/>
    </w:rPr>
  </w:style>
  <w:style w:type="paragraph" w:customStyle="1" w:styleId="30">
    <w:name w:val="样式 3 10 磅"/>
    <w:pPr>
      <w:widowControl w:val="0"/>
      <w:jc w:val="both"/>
    </w:pPr>
    <w:rPr>
      <w:rFonts w:ascii="Calibri" w:eastAsia="宋体" w:cs="Arial" w:hAnsi="Calibri"/>
      <w:kern w:val="2"/>
      <w:sz w:val="21"/>
      <w:szCs w:val="24"/>
      <w:lang w:val="en-US" w:eastAsia="zh-CN" w:bidi="ar-SA"/>
    </w:rPr>
  </w:style>
  <w:style w:type="paragraph" w:customStyle="1" w:styleId="31">
    <w:name w:val="样式 4 10 磅"/>
    <w:pPr>
      <w:widowControl w:val="0"/>
      <w:jc w:val="both"/>
    </w:pPr>
    <w:rPr>
      <w:rFonts w:ascii="Calibri" w:eastAsia="宋体" w:cs="Arial" w:hAnsi="Calibri"/>
      <w:kern w:val="2"/>
      <w:sz w:val="21"/>
      <w:szCs w:val="24"/>
      <w:lang w:val="en-US" w:eastAsia="zh-CN" w:bidi="ar-SA"/>
    </w:rPr>
  </w:style>
  <w:style w:type="paragraph" w:customStyle="1" w:styleId="32">
    <w:name w:val="样式 5 10 磅"/>
    <w:pPr>
      <w:widowControl w:val="0"/>
      <w:jc w:val="both"/>
    </w:pPr>
    <w:rPr>
      <w:rFonts w:ascii="Calibri" w:eastAsia="宋体" w:cs="Arial" w:hAnsi="Calibri"/>
      <w:kern w:val="2"/>
      <w:sz w:val="21"/>
      <w:szCs w:val="24"/>
      <w:lang w:val="en-US" w:eastAsia="zh-CN" w:bidi="ar-SA"/>
    </w:rPr>
  </w:style>
  <w:style w:type="paragraph" w:customStyle="1" w:styleId="33">
    <w:name w:val="样式 6 10 磅"/>
    <w:pPr>
      <w:widowControl w:val="0"/>
      <w:jc w:val="both"/>
    </w:pPr>
    <w:rPr>
      <w:rFonts w:ascii="Calibri" w:eastAsia="宋体" w:cs="Arial" w:hAnsi="Calibri"/>
      <w:kern w:val="2"/>
      <w:sz w:val="21"/>
      <w:szCs w:val="24"/>
      <w:lang w:val="en-US" w:eastAsia="zh-CN" w:bidi="ar-SA"/>
    </w:rPr>
  </w:style>
  <w:style w:type="paragraph" w:customStyle="1" w:styleId="34">
    <w:name w:val="样式 7 10 磅"/>
    <w:pPr>
      <w:widowControl w:val="0"/>
      <w:jc w:val="both"/>
    </w:pPr>
    <w:rPr>
      <w:rFonts w:ascii="Calibri" w:eastAsia="宋体" w:cs="Arial" w:hAnsi="Calibri"/>
      <w:kern w:val="2"/>
      <w:sz w:val="21"/>
      <w:szCs w:val="24"/>
      <w:lang w:val="en-US" w:eastAsia="zh-CN" w:bidi="ar-SA"/>
    </w:rPr>
  </w:style>
  <w:style w:type="paragraph" w:customStyle="1" w:styleId="35">
    <w:name w:val="样式 8 10 磅"/>
    <w:pPr>
      <w:widowControl w:val="0"/>
      <w:jc w:val="both"/>
    </w:pPr>
    <w:rPr>
      <w:rFonts w:ascii="Calibri" w:eastAsia="宋体" w:cs="Arial" w:hAnsi="Calibri"/>
      <w:kern w:val="2"/>
      <w:sz w:val="21"/>
      <w:szCs w:val="24"/>
      <w:lang w:val="en-US" w:eastAsia="zh-CN" w:bidi="ar-SA"/>
    </w:rPr>
  </w:style>
  <w:style w:type="paragraph" w:customStyle="1" w:styleId="36">
    <w:name w:val="样式 9 10 磅"/>
    <w:pPr>
      <w:widowControl w:val="0"/>
      <w:jc w:val="both"/>
    </w:pPr>
    <w:rPr>
      <w:rFonts w:ascii="Calibri" w:eastAsia="宋体" w:cs="Arial" w:hAnsi="Calibri"/>
      <w:kern w:val="2"/>
      <w:sz w:val="21"/>
      <w:szCs w:val="24"/>
      <w:lang w:val="en-US" w:eastAsia="zh-CN" w:bidi="ar-SA"/>
    </w:rPr>
  </w:style>
  <w:style w:type="paragraph" w:customStyle="1" w:styleId="37">
    <w:name w:val="样式 10 10 磅"/>
    <w:pPr>
      <w:widowControl w:val="0"/>
      <w:jc w:val="both"/>
    </w:pPr>
    <w:rPr>
      <w:rFonts w:ascii="Calibri" w:eastAsia="宋体" w:cs="Arial" w:hAnsi="Calibri"/>
      <w:kern w:val="2"/>
      <w:sz w:val="21"/>
      <w:szCs w:val="24"/>
      <w:lang w:val="en-US" w:eastAsia="zh-CN" w:bidi="ar-SA"/>
    </w:rPr>
  </w:style>
  <w:style w:type="paragraph" w:customStyle="1" w:styleId="38">
    <w:name w:val="样式 11 10 磅"/>
    <w:pPr>
      <w:widowControl w:val="0"/>
      <w:jc w:val="both"/>
    </w:pPr>
    <w:rPr>
      <w:rFonts w:ascii="Calibri" w:eastAsia="宋体" w:cs="Arial" w:hAnsi="Calibri"/>
      <w:kern w:val="2"/>
      <w:sz w:val="21"/>
      <w:szCs w:val="24"/>
      <w:lang w:val="en-US" w:eastAsia="zh-CN" w:bidi="ar-SA"/>
    </w:rPr>
  </w:style>
  <w:style w:type="paragraph" w:customStyle="1" w:styleId="39">
    <w:name w:val="样式 12 10 磅"/>
    <w:pPr>
      <w:widowControl w:val="0"/>
      <w:jc w:val="both"/>
    </w:pPr>
    <w:rPr>
      <w:rFonts w:ascii="Calibri" w:eastAsia="宋体" w:cs="Arial" w:hAnsi="Calibri"/>
      <w:kern w:val="2"/>
      <w:sz w:val="21"/>
      <w:szCs w:val="24"/>
      <w:lang w:val="en-US" w:eastAsia="zh-CN" w:bidi="ar-SA"/>
    </w:rPr>
  </w:style>
  <w:style w:type="paragraph" w:customStyle="1" w:styleId="40">
    <w:name w:val="样式 13 10 磅"/>
    <w:pPr>
      <w:widowControl w:val="0"/>
      <w:jc w:val="both"/>
    </w:pPr>
    <w:rPr>
      <w:rFonts w:ascii="Calibri" w:eastAsia="宋体" w:cs="Arial" w:hAnsi="Calibri"/>
      <w:kern w:val="2"/>
      <w:sz w:val="21"/>
      <w:szCs w:val="24"/>
      <w:lang w:val="en-US" w:eastAsia="zh-CN" w:bidi="ar-SA"/>
    </w:rPr>
  </w:style>
  <w:style w:type="paragraph" w:customStyle="1" w:styleId="41">
    <w:name w:val="样式 14 10 磅"/>
    <w:pPr>
      <w:widowControl w:val="0"/>
      <w:jc w:val="both"/>
    </w:pPr>
    <w:rPr>
      <w:rFonts w:ascii="Calibri" w:eastAsia="宋体" w:cs="Arial" w:hAnsi="Calibri"/>
      <w:kern w:val="2"/>
      <w:sz w:val="21"/>
      <w:szCs w:val="24"/>
      <w:lang w:val="en-US" w:eastAsia="zh-CN" w:bidi="ar-SA"/>
    </w:rPr>
  </w:style>
  <w:style w:type="paragraph" w:customStyle="1" w:styleId="42">
    <w:name w:val="样式 15 10 磅"/>
    <w:pPr>
      <w:widowControl w:val="0"/>
      <w:jc w:val="both"/>
    </w:pPr>
    <w:rPr>
      <w:rFonts w:ascii="Calibri" w:eastAsia="宋体" w:cs="Arial" w:hAnsi="Calibri"/>
      <w:kern w:val="2"/>
      <w:sz w:val="21"/>
      <w:szCs w:val="24"/>
      <w:lang w:val="en-US" w:eastAsia="zh-CN" w:bidi="ar-SA"/>
    </w:rPr>
  </w:style>
  <w:style w:type="paragraph" w:customStyle="1" w:styleId="43">
    <w:name w:val="样式 16 10 磅"/>
    <w:pPr>
      <w:widowControl w:val="0"/>
      <w:jc w:val="both"/>
    </w:pPr>
    <w:rPr>
      <w:rFonts w:ascii="Calibri" w:eastAsia="宋体" w:cs="Arial" w:hAnsi="Calibri"/>
      <w:kern w:val="2"/>
      <w:sz w:val="21"/>
      <w:szCs w:val="24"/>
      <w:lang w:val="en-US" w:eastAsia="zh-CN" w:bidi="ar-SA"/>
    </w:rPr>
  </w:style>
  <w:style w:type="paragraph" w:customStyle="1" w:styleId="44">
    <w:name w:val="样式 17 10 磅"/>
    <w:pPr>
      <w:widowControl w:val="0"/>
      <w:jc w:val="both"/>
    </w:pPr>
    <w:rPr>
      <w:rFonts w:ascii="Calibri" w:eastAsia="宋体" w:cs="Arial" w:hAnsi="Calibri"/>
      <w:kern w:val="2"/>
      <w:sz w:val="21"/>
      <w:szCs w:val="24"/>
      <w:lang w:val="en-US" w:eastAsia="zh-CN" w:bidi="ar-SA"/>
    </w:rPr>
  </w:style>
  <w:style w:type="paragraph" w:customStyle="1" w:styleId="45">
    <w:name w:val="样式 三号"/>
    <w:pPr>
      <w:widowControl w:val="0"/>
      <w:spacing w:line="560" w:lineRule="exact"/>
      <w:jc w:val="both"/>
    </w:pPr>
    <w:rPr>
      <w:rFonts w:ascii="Times New Roman" w:eastAsia="方正仿宋_GBK" w:cs="Times New Roman" w:hAnsi="Times New Roman"/>
      <w:kern w:val="2"/>
      <w:sz w:val="32"/>
      <w:szCs w:val="20"/>
      <w:lang w:val="en-US" w:eastAsia="zh-CN" w:bidi="ar-SA"/>
    </w:rPr>
  </w:style>
  <w:style w:type="paragraph" w:customStyle="1" w:styleId="46">
    <w:name w:val="样式 1 三号"/>
    <w:pPr>
      <w:widowControl w:val="0"/>
      <w:spacing w:line="560" w:lineRule="exact"/>
      <w:jc w:val="both"/>
    </w:pPr>
    <w:rPr>
      <w:rFonts w:ascii="Times New Roman" w:eastAsia="方正仿宋_GBK" w:cs="Times New Roman" w:hAnsi="Times New Roman"/>
      <w:kern w:val="2"/>
      <w:sz w:val="32"/>
      <w:szCs w:val="20"/>
      <w:lang w:val="en-US" w:eastAsia="zh-CN" w:bidi="ar-SA"/>
    </w:rPr>
  </w:style>
  <w:style w:type="paragraph" w:customStyle="1" w:styleId="47">
    <w:name w:val="样式 18 10 磅"/>
    <w:next w:val="30"/>
    <w:pPr>
      <w:widowControl w:val="0"/>
      <w:jc w:val="both"/>
    </w:pPr>
    <w:rPr>
      <w:rFonts w:ascii="Times New Roman" w:eastAsia="宋体" w:cs="Times New Roman" w:hAnsi="Times New Roman"/>
      <w:kern w:val="2"/>
      <w:sz w:val="21"/>
      <w:szCs w:val="21"/>
      <w:lang w:val="en-US" w:eastAsia="zh-CN" w:bidi="ar-SA"/>
    </w:rPr>
  </w:style>
  <w:style w:type="paragraph" w:customStyle="1" w:styleId="48">
    <w:name w:val="样式 19 10 磅"/>
    <w:pPr>
      <w:widowControl w:val="0"/>
      <w:jc w:val="both"/>
    </w:pPr>
    <w:rPr>
      <w:rFonts w:ascii="Calibri" w:eastAsia="宋体" w:cs="Arial" w:hAnsi="Calibri"/>
      <w:kern w:val="2"/>
      <w:sz w:val="21"/>
      <w:szCs w:val="24"/>
      <w:lang w:val="en-US" w:eastAsia="zh-CN" w:bidi="ar-SA"/>
    </w:rPr>
  </w:style>
  <w:style w:type="paragraph" w:customStyle="1" w:styleId="49">
    <w:name w:val="样式 20 10 磅"/>
    <w:pPr>
      <w:widowControl w:val="0"/>
      <w:jc w:val="both"/>
    </w:pPr>
    <w:rPr>
      <w:rFonts w:ascii="Calibri" w:eastAsia="宋体" w:cs="Arial" w:hAnsi="Calibri"/>
      <w:kern w:val="2"/>
      <w:sz w:val="21"/>
      <w:szCs w:val="24"/>
      <w:lang w:val="en-US" w:eastAsia="zh-CN" w:bidi="ar-SA"/>
    </w:rPr>
  </w:style>
  <w:style w:type="paragraph" w:customStyle="1" w:styleId="50">
    <w:name w:val="样式 21 10 磅"/>
    <w:pPr>
      <w:widowControl w:val="0"/>
      <w:jc w:val="both"/>
    </w:pPr>
    <w:rPr>
      <w:rFonts w:ascii="Calibri" w:eastAsia="宋体" w:cs="Arial" w:hAnsi="Calibri"/>
      <w:kern w:val="2"/>
      <w:sz w:val="21"/>
      <w:szCs w:val="24"/>
      <w:lang w:val="en-US" w:eastAsia="zh-CN" w:bidi="ar-SA"/>
    </w:rPr>
  </w:style>
  <w:style w:type="paragraph" w:customStyle="1" w:styleId="51">
    <w:name w:val="样式 22 10 磅"/>
    <w:pPr>
      <w:widowControl w:val="0"/>
      <w:jc w:val="both"/>
    </w:pPr>
    <w:rPr>
      <w:rFonts w:ascii="Calibri" w:eastAsia="宋体" w:cs="Arial" w:hAnsi="Calibri"/>
      <w:kern w:val="2"/>
      <w:sz w:val="21"/>
      <w:szCs w:val="24"/>
      <w:lang w:val="en-US" w:eastAsia="zh-CN" w:bidi="ar-SA"/>
    </w:rPr>
  </w:style>
  <w:style w:type="paragraph" w:customStyle="1" w:styleId="52">
    <w:name w:val="样式 小四"/>
    <w:pPr>
      <w:widowControl w:val="0"/>
    </w:pPr>
    <w:rPr>
      <w:rFonts w:ascii="宋体" w:eastAsia="宋体" w:cs="Times New Roman"/>
      <w:kern w:val="2"/>
      <w:sz w:val="24"/>
      <w:szCs w:val="21"/>
      <w:lang w:val="en-US" w:eastAsia="zh-CN" w:bidi="ar-SA"/>
    </w:rPr>
  </w:style>
  <w:style w:type="paragraph" w:customStyle="1" w:styleId="53">
    <w:name w:val="样式 23 10 磅"/>
    <w:pPr>
      <w:widowControl w:val="0"/>
      <w:jc w:val="both"/>
    </w:pPr>
    <w:rPr>
      <w:rFonts w:ascii="Calibri" w:eastAsia="宋体" w:cs="Arial" w:hAnsi="Calibri"/>
      <w:kern w:val="2"/>
      <w:sz w:val="21"/>
      <w:szCs w:val="24"/>
      <w:lang w:val="en-US" w:eastAsia="zh-CN" w:bidi="ar-SA"/>
    </w:rPr>
  </w:style>
  <w:style w:type="paragraph" w:customStyle="1" w:styleId="54">
    <w:name w:val="样式 24 10 磅"/>
    <w:pPr>
      <w:widowControl w:val="0"/>
      <w:jc w:val="both"/>
    </w:pPr>
    <w:rPr>
      <w:rFonts w:ascii="Calibri" w:eastAsia="宋体" w:cs="Arial" w:hAnsi="Calibri"/>
      <w:kern w:val="2"/>
      <w:sz w:val="21"/>
      <w:szCs w:val="24"/>
      <w:lang w:val="en-US" w:eastAsia="zh-CN" w:bidi="ar-SA"/>
    </w:rPr>
  </w:style>
  <w:style w:type="paragraph" w:customStyle="1" w:styleId="55">
    <w:name w:val="样式 2 三号"/>
    <w:pPr>
      <w:widowControl w:val="0"/>
      <w:spacing w:line="560" w:lineRule="exact"/>
      <w:jc w:val="both"/>
    </w:pPr>
    <w:rPr>
      <w:rFonts w:ascii="Times New Roman" w:eastAsia="方正仿宋_GBK" w:cs="Times New Roman" w:hAnsi="Times New Roman"/>
      <w:kern w:val="2"/>
      <w:sz w:val="32"/>
      <w:szCs w:val="20"/>
      <w:lang w:val="en-US" w:eastAsia="zh-CN" w:bidi="ar-SA"/>
    </w:rPr>
  </w:style>
  <w:style w:type="paragraph" w:customStyle="1" w:styleId="56">
    <w:name w:val="样式 3 三号"/>
    <w:pPr>
      <w:widowControl w:val="0"/>
      <w:spacing w:line="560" w:lineRule="exact"/>
      <w:jc w:val="both"/>
    </w:pPr>
    <w:rPr>
      <w:rFonts w:ascii="Times New Roman" w:eastAsia="方正仿宋_GBK" w:cs="Times New Roman" w:hAnsi="Times New Roman"/>
      <w:kern w:val="2"/>
      <w:sz w:val="32"/>
      <w:szCs w:val="20"/>
      <w:lang w:val="en-US" w:eastAsia="zh-CN" w:bidi="ar-SA"/>
    </w:rPr>
  </w:style>
  <w:style w:type="paragraph" w:customStyle="1" w:styleId="57">
    <w:name w:val="样式 25 10 磅"/>
    <w:pPr>
      <w:widowControl w:val="0"/>
      <w:jc w:val="both"/>
    </w:pPr>
    <w:rPr>
      <w:rFonts w:ascii="Calibri" w:eastAsia="宋体" w:cs="Arial" w:hAnsi="Calibri"/>
      <w:kern w:val="2"/>
      <w:sz w:val="21"/>
      <w:szCs w:val="24"/>
      <w:lang w:val="en-US" w:eastAsia="zh-CN" w:bidi="ar-SA"/>
    </w:rPr>
  </w:style>
  <w:style w:type="paragraph" w:customStyle="1" w:styleId="58">
    <w:name w:val="样式 26 10 磅"/>
    <w:pPr>
      <w:widowControl w:val="0"/>
      <w:jc w:val="both"/>
    </w:pPr>
    <w:rPr>
      <w:rFonts w:ascii="Calibri" w:eastAsia="宋体" w:cs="Arial" w:hAnsi="Calibri"/>
      <w:kern w:val="2"/>
      <w:sz w:val="21"/>
      <w:szCs w:val="24"/>
      <w:lang w:val="en-US" w:eastAsia="zh-CN" w:bidi="ar-SA"/>
    </w:rPr>
  </w:style>
  <w:style w:type="paragraph" w:customStyle="1" w:styleId="59">
    <w:name w:val="样式 27 10 磅"/>
    <w:pPr>
      <w:widowControl w:val="0"/>
      <w:jc w:val="both"/>
    </w:pPr>
    <w:rPr>
      <w:rFonts w:ascii="Calibri" w:eastAsia="宋体" w:cs="Times New Roman" w:hAnsi="Calibri"/>
      <w:kern w:val="2"/>
      <w:sz w:val="21"/>
      <w:szCs w:val="22"/>
      <w:lang w:val="en-US" w:eastAsia="zh-CN" w:bidi="ar-SA"/>
    </w:rPr>
  </w:style>
  <w:style w:type="paragraph" w:customStyle="1" w:styleId="60">
    <w:name w:val="样式 28 10 磅"/>
    <w:pPr>
      <w:widowControl w:val="0"/>
      <w:jc w:val="both"/>
    </w:pPr>
    <w:rPr>
      <w:rFonts w:ascii="Calibri" w:eastAsia="宋体" w:cs="Times New Roman" w:hAnsi="Calibri"/>
      <w:kern w:val="2"/>
      <w:sz w:val="21"/>
      <w:szCs w:val="22"/>
      <w:lang w:val="en-US" w:eastAsia="zh-CN" w:bidi="ar-SA"/>
    </w:rPr>
  </w:style>
  <w:style w:type="paragraph" w:customStyle="1" w:styleId="61">
    <w:name w:val="样式 29 10 磅"/>
    <w:pPr>
      <w:widowControl w:val="0"/>
      <w:jc w:val="both"/>
    </w:pPr>
    <w:rPr>
      <w:rFonts w:ascii="Calibri" w:eastAsia="宋体" w:cs="Arial" w:hAnsi="Calibri"/>
      <w:kern w:val="2"/>
      <w:sz w:val="21"/>
      <w:szCs w:val="24"/>
      <w:lang w:val="en-US" w:eastAsia="zh-CN" w:bidi="ar-SA"/>
    </w:rPr>
  </w:style>
  <w:style w:type="paragraph" w:customStyle="1" w:styleId="62">
    <w:name w:val="样式 30 10 磅"/>
    <w:pPr>
      <w:widowControl w:val="0"/>
      <w:jc w:val="both"/>
    </w:pPr>
    <w:rPr>
      <w:rFonts w:ascii="Calibri" w:eastAsia="宋体" w:cs="Arial" w:hAnsi="Calibri"/>
      <w:kern w:val="2"/>
      <w:sz w:val="21"/>
      <w:szCs w:val="24"/>
      <w:lang w:val="en-US" w:eastAsia="zh-CN" w:bidi="ar-SA"/>
    </w:rPr>
  </w:style>
  <w:style w:type="paragraph" w:customStyle="1" w:styleId="63">
    <w:name w:val="样式 31 10 磅"/>
    <w:pPr>
      <w:widowControl w:val="0"/>
      <w:jc w:val="both"/>
    </w:pPr>
    <w:rPr>
      <w:rFonts w:ascii="Calibri" w:eastAsia="宋体" w:cs="Arial" w:hAnsi="Calibri"/>
      <w:kern w:val="2"/>
      <w:sz w:val="21"/>
      <w:szCs w:val="24"/>
      <w:lang w:val="en-US" w:eastAsia="zh-CN" w:bidi="ar-SA"/>
    </w:rPr>
  </w:style>
  <w:style w:type="paragraph" w:customStyle="1" w:styleId="64">
    <w:name w:val="样式 32 10 磅"/>
    <w:pPr>
      <w:widowControl w:val="0"/>
      <w:jc w:val="both"/>
    </w:pPr>
    <w:rPr>
      <w:rFonts w:ascii="Calibri" w:eastAsia="宋体" w:cs="Arial" w:hAnsi="Calibri"/>
      <w:kern w:val="2"/>
      <w:sz w:val="21"/>
      <w:szCs w:val="24"/>
      <w:lang w:val="en-US" w:eastAsia="zh-CN" w:bidi="ar-SA"/>
    </w:rPr>
  </w:style>
  <w:style w:type="paragraph" w:customStyle="1" w:styleId="65">
    <w:name w:val="样式 33 10 磅"/>
    <w:pPr>
      <w:widowControl w:val="0"/>
      <w:jc w:val="both"/>
    </w:pPr>
    <w:rPr>
      <w:rFonts w:ascii="Times New Roman" w:eastAsia="宋体" w:cs="Times New Roman" w:hAnsi="Times New Roman"/>
      <w:kern w:val="2"/>
      <w:sz w:val="21"/>
      <w:szCs w:val="21"/>
      <w:lang w:val="en-US" w:eastAsia="zh-CN" w:bidi="ar-SA"/>
    </w:rPr>
  </w:style>
  <w:style w:type="paragraph" w:customStyle="1" w:styleId="66">
    <w:name w:val="样式 34 10 磅"/>
    <w:pPr>
      <w:widowControl w:val="0"/>
      <w:jc w:val="both"/>
    </w:pPr>
    <w:rPr>
      <w:rFonts w:ascii="Calibri" w:eastAsia="宋体" w:cs="Arial" w:hAnsi="Calibri"/>
      <w:kern w:val="2"/>
      <w:sz w:val="21"/>
      <w:szCs w:val="24"/>
      <w:lang w:val="en-US" w:eastAsia="zh-CN" w:bidi="ar-SA"/>
    </w:rPr>
  </w:style>
  <w:style w:type="paragraph" w:customStyle="1" w:styleId="67">
    <w:name w:val="样式 1 小四"/>
    <w:pPr>
      <w:widowControl w:val="0"/>
    </w:pPr>
    <w:rPr>
      <w:rFonts w:ascii="宋体" w:eastAsia="宋体" w:cs="Times New Roman"/>
      <w:kern w:val="2"/>
      <w:sz w:val="24"/>
      <w:szCs w:val="21"/>
      <w:lang w:val="en-US" w:eastAsia="zh-CN" w:bidi="ar-SA"/>
    </w:rPr>
  </w:style>
  <w:style w:type="paragraph" w:customStyle="1" w:styleId="68">
    <w:name w:val="样式 35 10 磅"/>
    <w:pPr>
      <w:widowControl w:val="0"/>
      <w:jc w:val="both"/>
    </w:pPr>
    <w:rPr>
      <w:rFonts w:ascii="Calibri" w:eastAsia="宋体" w:cs="Arial" w:hAnsi="Calibri"/>
      <w:kern w:val="2"/>
      <w:sz w:val="21"/>
      <w:szCs w:val="24"/>
      <w:lang w:val="en-US" w:eastAsia="zh-CN" w:bidi="ar-SA"/>
    </w:rPr>
  </w:style>
  <w:style w:type="paragraph" w:customStyle="1" w:styleId="69">
    <w:name w:val="样式 36 10 磅"/>
    <w:next w:val="66"/>
    <w:pPr>
      <w:widowControl w:val="0"/>
      <w:jc w:val="both"/>
    </w:pPr>
    <w:rPr>
      <w:rFonts w:ascii="Calibri" w:eastAsia="宋体" w:cs="Arial" w:hAnsi="Calibri"/>
      <w:kern w:val="2"/>
      <w:sz w:val="21"/>
      <w:szCs w:val="24"/>
      <w:lang w:val="en-US" w:eastAsia="zh-CN" w:bidi="ar-SA"/>
    </w:rPr>
  </w:style>
  <w:style w:type="paragraph" w:customStyle="1" w:styleId="70">
    <w:name w:val="样式 2 小四"/>
    <w:pPr>
      <w:widowControl w:val="0"/>
      <w:spacing w:before="100" w:beforeAutospacing="1" w:after="100" w:afterAutospacing="1"/>
    </w:pPr>
    <w:rPr>
      <w:rFonts w:ascii="宋体" w:eastAsia="宋体" w:cs="Times New Roman"/>
      <w:kern w:val="2"/>
      <w:sz w:val="24"/>
      <w:szCs w:val="24"/>
      <w:lang w:val="en-US" w:eastAsia="zh-CN" w:bidi="ar-SA"/>
    </w:rPr>
  </w:style>
  <w:style w:type="paragraph" w:customStyle="1" w:styleId="71">
    <w:name w:val="样式 3 小四"/>
    <w:pPr>
      <w:widowControl w:val="0"/>
      <w:spacing w:before="100" w:beforeAutospacing="1" w:after="100" w:afterAutospacing="1"/>
    </w:pPr>
    <w:rPr>
      <w:rFonts w:ascii="宋体" w:eastAsia="宋体" w:cs="Times New Roman"/>
      <w:kern w:val="2"/>
      <w:sz w:val="24"/>
      <w:szCs w:val="24"/>
      <w:lang w:val="en-US" w:eastAsia="zh-CN" w:bidi="ar-SA"/>
    </w:rPr>
  </w:style>
  <w:style w:type="paragraph" w:customStyle="1" w:styleId="72">
    <w:name w:val="样式 4 小四"/>
    <w:pPr>
      <w:widowControl w:val="0"/>
      <w:spacing w:before="100" w:beforeAutospacing="1" w:after="100" w:afterAutospacing="1"/>
    </w:pPr>
    <w:rPr>
      <w:rFonts w:ascii="宋体" w:eastAsia="宋体" w:cs="Times New Roman"/>
      <w:kern w:val="2"/>
      <w:sz w:val="24"/>
      <w:szCs w:val="24"/>
      <w:lang w:val="en-US" w:eastAsia="zh-CN" w:bidi="ar-SA"/>
    </w:rPr>
  </w:style>
  <w:style w:type="paragraph" w:customStyle="1" w:styleId="73">
    <w:name w:val="样式 5 小四"/>
    <w:pPr>
      <w:widowControl w:val="0"/>
      <w:spacing w:before="100" w:beforeAutospacing="1" w:after="100" w:afterAutospacing="1"/>
    </w:pPr>
    <w:rPr>
      <w:rFonts w:ascii="宋体" w:eastAsia="宋体" w:cs="Times New Roman"/>
      <w:kern w:val="2"/>
      <w:sz w:val="24"/>
      <w:szCs w:val="24"/>
      <w:lang w:val="en-US" w:eastAsia="zh-CN" w:bidi="ar-SA"/>
    </w:rPr>
  </w:style>
  <w:style w:type="paragraph" w:customStyle="1" w:styleId="74">
    <w:name w:val="样式 6 小四"/>
    <w:pPr>
      <w:widowControl w:val="0"/>
    </w:pPr>
    <w:rPr>
      <w:rFonts w:ascii="宋体" w:eastAsia="宋体" w:cs="Times New Roman"/>
      <w:kern w:val="2"/>
      <w:sz w:val="24"/>
      <w:szCs w:val="21"/>
      <w:lang w:val="en-US" w:eastAsia="zh-CN" w:bidi="ar-SA"/>
    </w:rPr>
  </w:style>
  <w:style w:type="paragraph" w:customStyle="1" w:styleId="75">
    <w:name w:val="样式 7 小四"/>
    <w:pPr>
      <w:widowControl w:val="0"/>
      <w:spacing w:before="100" w:beforeAutospacing="1" w:after="100" w:afterAutospacing="1"/>
    </w:pPr>
    <w:rPr>
      <w:rFonts w:ascii="宋体" w:eastAsia="宋体" w:cs="Times New Roman"/>
      <w:kern w:val="2"/>
      <w:sz w:val="24"/>
      <w:szCs w:val="24"/>
      <w:lang w:val="en-US" w:eastAsia="zh-CN" w:bidi="ar-SA"/>
    </w:rPr>
  </w:style>
  <w:style w:type="paragraph" w:customStyle="1" w:styleId="76">
    <w:name w:val="样式 8 小四"/>
    <w:pPr>
      <w:widowControl w:val="0"/>
    </w:pPr>
    <w:rPr>
      <w:rFonts w:ascii="宋体" w:eastAsia="宋体" w:cs="Times New Roman"/>
      <w:kern w:val="2"/>
      <w:sz w:val="24"/>
      <w:szCs w:val="21"/>
      <w:lang w:val="en-US" w:eastAsia="zh-CN" w:bidi="ar-SA"/>
    </w:rPr>
  </w:style>
  <w:style w:type="paragraph" w:customStyle="1" w:styleId="77">
    <w:name w:val="样式 9 小四"/>
    <w:pPr>
      <w:widowControl w:val="0"/>
      <w:spacing w:before="100" w:beforeAutospacing="1" w:after="100" w:afterAutospacing="1"/>
    </w:pPr>
    <w:rPr>
      <w:rFonts w:ascii="宋体" w:eastAsia="宋体" w:cs="Times New Roman"/>
      <w:kern w:val="2"/>
      <w:sz w:val="24"/>
      <w:szCs w:val="24"/>
      <w:lang w:val="en-US" w:eastAsia="zh-CN" w:bidi="ar-SA"/>
    </w:rPr>
  </w:style>
  <w:style w:type="paragraph" w:customStyle="1" w:styleId="78">
    <w:name w:val="样式 10 小四"/>
    <w:pPr>
      <w:widowControl w:val="0"/>
    </w:pPr>
    <w:rPr>
      <w:rFonts w:ascii="宋体" w:eastAsia="宋体" w:cs="Times New Roman"/>
      <w:kern w:val="2"/>
      <w:sz w:val="24"/>
      <w:szCs w:val="21"/>
      <w:lang w:val="en-US" w:eastAsia="zh-CN" w:bidi="ar-SA"/>
    </w:rPr>
  </w:style>
  <w:style w:type="paragraph" w:customStyle="1" w:styleId="79">
    <w:name w:val="样式 11 小四"/>
    <w:pPr>
      <w:widowControl w:val="0"/>
      <w:spacing w:before="100" w:beforeAutospacing="1" w:after="100" w:afterAutospacing="1"/>
    </w:pPr>
    <w:rPr>
      <w:rFonts w:ascii="宋体" w:eastAsia="宋体" w:cs="Times New Roman"/>
      <w:kern w:val="2"/>
      <w:sz w:val="24"/>
      <w:szCs w:val="24"/>
      <w:lang w:val="en-US" w:eastAsia="zh-CN" w:bidi="ar-SA"/>
    </w:rPr>
  </w:style>
  <w:style w:type="paragraph" w:customStyle="1" w:styleId="80">
    <w:name w:val="样式 12 小四"/>
    <w:pPr>
      <w:widowControl w:val="0"/>
      <w:spacing w:before="100" w:beforeAutospacing="1" w:after="100" w:afterAutospacing="1"/>
    </w:pPr>
    <w:rPr>
      <w:rFonts w:ascii="宋体" w:eastAsia="宋体" w:cs="Times New Roman"/>
      <w:kern w:val="2"/>
      <w:sz w:val="24"/>
      <w:szCs w:val="24"/>
      <w:lang w:val="en-US" w:eastAsia="zh-CN" w:bidi="ar-SA"/>
    </w:rPr>
  </w:style>
  <w:style w:type="paragraph" w:customStyle="1" w:styleId="81">
    <w:name w:val="样式 13 小四"/>
    <w:pPr>
      <w:widowControl w:val="0"/>
      <w:spacing w:before="100" w:beforeAutospacing="1" w:after="100" w:afterAutospacing="1"/>
    </w:pPr>
    <w:rPr>
      <w:rFonts w:ascii="宋体" w:eastAsia="宋体" w:cs="Times New Roman"/>
      <w:kern w:val="2"/>
      <w:sz w:val="24"/>
      <w:szCs w:val="24"/>
      <w:lang w:val="en-US" w:eastAsia="zh-CN" w:bidi="ar-SA"/>
    </w:rPr>
  </w:style>
  <w:style w:type="paragraph" w:customStyle="1" w:styleId="82">
    <w:name w:val="样式 37 10 磅"/>
    <w:pPr>
      <w:widowControl w:val="0"/>
      <w:jc w:val="both"/>
    </w:pPr>
    <w:rPr>
      <w:rFonts w:ascii="Calibri" w:eastAsia="宋体" w:cs="Arial" w:hAnsi="Calibri"/>
      <w:kern w:val="2"/>
      <w:sz w:val="21"/>
      <w:szCs w:val="24"/>
      <w:lang w:val="en-US" w:eastAsia="zh-CN" w:bidi="ar-SA"/>
    </w:rPr>
  </w:style>
  <w:style w:type="paragraph" w:customStyle="1" w:styleId="83">
    <w:name w:val="样式 54 10 磅"/>
    <w:next w:val="21"/>
    <w:pPr>
      <w:widowControl w:val="0"/>
      <w:jc w:val="both"/>
    </w:pPr>
    <w:rPr>
      <w:rFonts w:ascii="Calibri" w:eastAsia="宋体" w:cs="Arial" w:hAnsi="Calibri"/>
      <w:kern w:val="2"/>
      <w:sz w:val="21"/>
      <w:szCs w:val="24"/>
      <w:lang w:val="en-US" w:eastAsia="zh-CN" w:bidi="ar-SA"/>
    </w:rPr>
  </w:style>
  <w:style w:type="paragraph" w:customStyle="1" w:styleId="84">
    <w:name w:val="样式 14 小四"/>
    <w:pPr>
      <w:widowControl w:val="0"/>
      <w:spacing w:before="100" w:beforeAutospacing="1" w:after="100" w:afterAutospacing="1"/>
    </w:pPr>
    <w:rPr>
      <w:rFonts w:ascii="宋体" w:eastAsia="宋体" w:cs="Times New Roman"/>
      <w:kern w:val="2"/>
      <w:sz w:val="24"/>
      <w:szCs w:val="24"/>
      <w:lang w:val="en-US" w:eastAsia="zh-CN" w:bidi="ar-SA"/>
    </w:rPr>
  </w:style>
  <w:style w:type="paragraph" w:customStyle="1" w:styleId="85">
    <w:name w:val="样式 15 小四"/>
    <w:pPr>
      <w:widowControl w:val="0"/>
      <w:spacing w:before="100" w:beforeAutospacing="1" w:after="100" w:afterAutospacing="1"/>
    </w:pPr>
    <w:rPr>
      <w:rFonts w:ascii="宋体" w:eastAsia="宋体" w:cs="Times New Roman"/>
      <w:kern w:val="2"/>
      <w:sz w:val="24"/>
      <w:szCs w:val="24"/>
      <w:lang w:val="en-US" w:eastAsia="zh-CN" w:bidi="ar-SA"/>
    </w:rPr>
  </w:style>
  <w:style w:type="paragraph" w:customStyle="1" w:styleId="86">
    <w:name w:val="样式 38 10 磅"/>
    <w:pPr>
      <w:widowControl w:val="0"/>
      <w:jc w:val="both"/>
    </w:pPr>
    <w:rPr>
      <w:rFonts w:ascii="Calibri" w:eastAsia="宋体" w:cs="Arial" w:hAnsi="Calibri"/>
      <w:kern w:val="2"/>
      <w:sz w:val="21"/>
      <w:szCs w:val="24"/>
      <w:lang w:val="en-US" w:eastAsia="zh-CN" w:bidi="ar-SA"/>
    </w:rPr>
  </w:style>
  <w:style w:type="paragraph" w:customStyle="1" w:styleId="87">
    <w:name w:val="样式 39 10 磅"/>
    <w:pPr>
      <w:widowControl w:val="0"/>
    </w:pPr>
    <w:rPr>
      <w:rFonts w:ascii="Calibri" w:eastAsia="宋体" w:cs="Arial" w:hAnsi="Calibri"/>
      <w:kern w:val="2"/>
      <w:sz w:val="21"/>
      <w:szCs w:val="24"/>
      <w:lang w:val="en-US" w:eastAsia="zh-CN" w:bidi="ar-SA"/>
    </w:rPr>
  </w:style>
  <w:style w:type="paragraph" w:customStyle="1" w:styleId="88">
    <w:name w:val="样式 40 10 磅"/>
    <w:pPr>
      <w:widowControl w:val="0"/>
    </w:pPr>
    <w:rPr>
      <w:rFonts w:ascii="Calibri" w:eastAsia="宋体" w:cs="Arial" w:hAnsi="Calibri"/>
      <w:kern w:val="2"/>
      <w:sz w:val="21"/>
      <w:szCs w:val="24"/>
      <w:lang w:val="en-US" w:eastAsia="zh-CN" w:bidi="ar-SA"/>
    </w:rPr>
  </w:style>
  <w:style w:type="paragraph" w:customStyle="1" w:styleId="89">
    <w:name w:val="样式 41 10 磅"/>
    <w:pPr>
      <w:widowControl w:val="0"/>
    </w:pPr>
    <w:rPr>
      <w:rFonts w:ascii="Calibri" w:eastAsia="宋体" w:cs="Arial" w:hAnsi="Calibri"/>
      <w:kern w:val="2"/>
      <w:sz w:val="21"/>
      <w:szCs w:val="24"/>
      <w:lang w:val="en-US" w:eastAsia="zh-CN" w:bidi="ar-SA"/>
    </w:rPr>
  </w:style>
  <w:style w:type="paragraph" w:customStyle="1" w:styleId="90">
    <w:name w:val="样式 42 10 磅"/>
    <w:pPr>
      <w:widowControl w:val="0"/>
    </w:pPr>
    <w:rPr>
      <w:rFonts w:ascii="Calibri" w:eastAsia="宋体" w:cs="Arial" w:hAnsi="Calibri"/>
      <w:kern w:val="2"/>
      <w:sz w:val="21"/>
      <w:szCs w:val="24"/>
      <w:lang w:val="en-US" w:eastAsia="zh-CN" w:bidi="ar-SA"/>
    </w:rPr>
  </w:style>
  <w:style w:type="paragraph" w:customStyle="1" w:styleId="91">
    <w:name w:val="样式 43 10 磅"/>
    <w:pPr>
      <w:widowControl w:val="0"/>
      <w:jc w:val="both"/>
    </w:pPr>
    <w:rPr>
      <w:rFonts w:ascii="Calibri" w:eastAsia="宋体" w:cs="Arial" w:hAnsi="Calibri"/>
      <w:kern w:val="2"/>
      <w:sz w:val="21"/>
      <w:szCs w:val="24"/>
      <w:lang w:val="en-US" w:eastAsia="zh-CN" w:bidi="ar-SA"/>
    </w:rPr>
  </w:style>
  <w:style w:type="paragraph" w:customStyle="1" w:styleId="92">
    <w:name w:val="样式 44 10 磅"/>
    <w:pPr>
      <w:widowControl w:val="0"/>
    </w:pPr>
    <w:rPr>
      <w:rFonts w:ascii="Calibri" w:eastAsia="宋体" w:cs="Arial" w:hAnsi="Calibri"/>
      <w:kern w:val="2"/>
      <w:sz w:val="21"/>
      <w:szCs w:val="24"/>
      <w:lang w:val="en-US" w:eastAsia="zh-CN" w:bidi="ar-SA"/>
    </w:rPr>
  </w:style>
  <w:style w:type="paragraph" w:customStyle="1" w:styleId="93">
    <w:name w:val="样式 45 10 磅"/>
    <w:pPr>
      <w:widowControl w:val="0"/>
    </w:pPr>
    <w:rPr>
      <w:rFonts w:ascii="Calibri" w:eastAsia="宋体" w:cs="Arial" w:hAnsi="Calibri"/>
      <w:kern w:val="2"/>
      <w:sz w:val="21"/>
      <w:szCs w:val="24"/>
      <w:lang w:val="en-US" w:eastAsia="zh-CN" w:bidi="ar-SA"/>
    </w:rPr>
  </w:style>
  <w:style w:type="paragraph" w:customStyle="1" w:styleId="94">
    <w:name w:val="样式 16 小四"/>
    <w:pPr>
      <w:widowControl w:val="0"/>
      <w:spacing w:before="100" w:beforeAutospacing="1" w:after="100" w:afterAutospacing="1"/>
    </w:pPr>
    <w:rPr>
      <w:rFonts w:ascii="宋体" w:eastAsia="宋体" w:cs="Times New Roman"/>
      <w:kern w:val="2"/>
      <w:sz w:val="24"/>
      <w:szCs w:val="24"/>
      <w:lang w:val="en-US" w:eastAsia="zh-CN" w:bidi="ar-SA"/>
    </w:rPr>
  </w:style>
  <w:style w:type="paragraph" w:customStyle="1" w:styleId="95">
    <w:name w:val="样式 46 10 磅"/>
    <w:pPr>
      <w:widowControl w:val="0"/>
      <w:jc w:val="both"/>
    </w:pPr>
    <w:rPr>
      <w:rFonts w:ascii="Calibri" w:eastAsia="宋体" w:cs="Arial" w:hAnsi="Calibri"/>
      <w:kern w:val="2"/>
      <w:sz w:val="21"/>
      <w:szCs w:val="24"/>
      <w:lang w:val="en-US" w:eastAsia="zh-CN" w:bidi="ar-SA"/>
    </w:rPr>
  </w:style>
  <w:style w:type="paragraph" w:customStyle="1" w:styleId="96">
    <w:name w:val="样式 17 小四"/>
    <w:pPr>
      <w:widowControl w:val="0"/>
      <w:spacing w:before="100" w:beforeAutospacing="1" w:after="100" w:afterAutospacing="1"/>
    </w:pPr>
    <w:rPr>
      <w:rFonts w:ascii="宋体" w:eastAsia="宋体" w:cs="Times New Roman"/>
      <w:kern w:val="2"/>
      <w:sz w:val="24"/>
      <w:szCs w:val="24"/>
      <w:lang w:val="en-US" w:eastAsia="zh-CN" w:bidi="ar-SA"/>
    </w:rPr>
  </w:style>
  <w:style w:type="paragraph" w:customStyle="1" w:styleId="97">
    <w:name w:val="样式 47 10 磅"/>
    <w:pPr>
      <w:widowControl w:val="0"/>
      <w:jc w:val="both"/>
    </w:pPr>
    <w:rPr>
      <w:rFonts w:ascii="Calibri" w:eastAsia="宋体" w:cs="Arial" w:hAnsi="Calibri"/>
      <w:kern w:val="2"/>
      <w:sz w:val="21"/>
      <w:szCs w:val="24"/>
      <w:lang w:val="en-US" w:eastAsia="zh-CN" w:bidi="ar-SA"/>
    </w:rPr>
  </w:style>
  <w:style w:type="paragraph" w:customStyle="1" w:styleId="98">
    <w:name w:val="样式 18 小四"/>
    <w:pPr>
      <w:widowControl w:val="0"/>
      <w:spacing w:before="100" w:beforeAutospacing="1" w:after="100" w:afterAutospacing="1"/>
    </w:pPr>
    <w:rPr>
      <w:rFonts w:ascii="宋体" w:eastAsia="宋体" w:cs="Times New Roman"/>
      <w:kern w:val="2"/>
      <w:sz w:val="24"/>
      <w:szCs w:val="24"/>
      <w:lang w:val="en-US" w:eastAsia="zh-CN" w:bidi="ar-SA"/>
    </w:rPr>
  </w:style>
  <w:style w:type="paragraph" w:customStyle="1" w:styleId="99">
    <w:name w:val="样式 48 10 磅"/>
    <w:pPr>
      <w:widowControl w:val="0"/>
      <w:jc w:val="both"/>
    </w:pPr>
    <w:rPr>
      <w:rFonts w:ascii="Calibri" w:eastAsia="宋体" w:cs="Arial" w:hAnsi="Calibri"/>
      <w:kern w:val="2"/>
      <w:sz w:val="21"/>
      <w:szCs w:val="24"/>
      <w:lang w:val="en-US" w:eastAsia="zh-CN" w:bidi="ar-SA"/>
    </w:rPr>
  </w:style>
  <w:style w:type="paragraph" w:customStyle="1" w:styleId="100">
    <w:name w:val="样式 49 10 磅"/>
    <w:pPr>
      <w:widowControl w:val="0"/>
      <w:jc w:val="both"/>
    </w:pPr>
    <w:rPr>
      <w:rFonts w:ascii="Calibri" w:eastAsia="宋体" w:cs="Arial" w:hAnsi="Calibri"/>
      <w:kern w:val="2"/>
      <w:sz w:val="21"/>
      <w:szCs w:val="24"/>
      <w:lang w:val="en-US" w:eastAsia="zh-CN" w:bidi="ar-SA"/>
    </w:rPr>
  </w:style>
  <w:style w:type="paragraph" w:customStyle="1" w:styleId="101">
    <w:name w:val="样式 50 10 磅"/>
    <w:pPr>
      <w:widowControl w:val="0"/>
      <w:jc w:val="both"/>
    </w:pPr>
    <w:rPr>
      <w:rFonts w:ascii="Calibri" w:eastAsia="宋体" w:cs="Arial" w:hAnsi="Calibri"/>
      <w:kern w:val="2"/>
      <w:sz w:val="21"/>
      <w:szCs w:val="24"/>
      <w:lang w:val="en-US" w:eastAsia="zh-CN" w:bidi="ar-SA"/>
    </w:rPr>
  </w:style>
  <w:style w:type="paragraph" w:customStyle="1" w:styleId="102">
    <w:name w:val="样式 51 10 磅"/>
    <w:pPr>
      <w:widowControl w:val="0"/>
      <w:jc w:val="both"/>
    </w:pPr>
    <w:rPr>
      <w:rFonts w:ascii="Calibri" w:eastAsia="宋体" w:cs="Arial" w:hAnsi="Calibri"/>
      <w:kern w:val="2"/>
      <w:sz w:val="21"/>
      <w:szCs w:val="24"/>
      <w:lang w:val="en-US" w:eastAsia="zh-CN" w:bidi="ar-SA"/>
    </w:rPr>
  </w:style>
  <w:style w:type="paragraph" w:customStyle="1" w:styleId="103">
    <w:name w:val="样式 52 10 磅"/>
    <w:pPr>
      <w:widowControl w:val="0"/>
      <w:jc w:val="both"/>
    </w:pPr>
    <w:rPr>
      <w:rFonts w:ascii="Calibri" w:eastAsia="宋体" w:cs="Arial" w:hAnsi="Calibri"/>
      <w:kern w:val="2"/>
      <w:sz w:val="21"/>
      <w:szCs w:val="24"/>
      <w:lang w:val="en-US" w:eastAsia="zh-CN" w:bidi="ar-SA"/>
    </w:rPr>
  </w:style>
  <w:style w:type="paragraph" w:customStyle="1" w:styleId="104">
    <w:name w:val="样式 53 10 磅"/>
    <w:pPr>
      <w:widowControl w:val="0"/>
      <w:jc w:val="both"/>
    </w:pPr>
    <w:rPr>
      <w:rFonts w:ascii="Calibri" w:eastAsia="宋体" w:cs="Arial" w:hAnsi="Calibri"/>
      <w:kern w:val="2"/>
      <w:sz w:val="21"/>
      <w:szCs w:val="24"/>
      <w:lang w:val="en-US" w:eastAsia="zh-CN" w:bidi="ar-SA"/>
    </w:rPr>
  </w:style>
  <w:style w:type="paragraph" w:customStyle="1" w:styleId="105">
    <w:name w:val="样式 55 10 磅"/>
    <w:pPr>
      <w:widowControl w:val="0"/>
      <w:jc w:val="both"/>
    </w:pPr>
    <w:rPr>
      <w:rFonts w:ascii="Calibri" w:eastAsia="宋体" w:cs="Arial" w:hAnsi="Calibri"/>
      <w:kern w:val="2"/>
      <w:sz w:val="21"/>
      <w:szCs w:val="24"/>
      <w:lang w:val="en-US" w:eastAsia="zh-CN" w:bidi="ar-SA"/>
    </w:rPr>
  </w:style>
  <w:style w:type="paragraph" w:customStyle="1" w:styleId="106">
    <w:name w:val="样式 56 10 磅"/>
    <w:pPr>
      <w:widowControl w:val="0"/>
      <w:jc w:val="both"/>
    </w:pPr>
    <w:rPr>
      <w:rFonts w:ascii="Calibri" w:eastAsia="宋体" w:cs="Arial" w:hAnsi="Calibri"/>
      <w:kern w:val="2"/>
      <w:sz w:val="21"/>
      <w:szCs w:val="24"/>
      <w:lang w:val="en-US" w:eastAsia="zh-CN" w:bidi="ar-SA"/>
    </w:rPr>
  </w:style>
  <w:style w:type="paragraph" w:customStyle="1" w:styleId="107">
    <w:name w:val="样式 57 10 磅"/>
    <w:pPr>
      <w:widowControl w:val="0"/>
      <w:jc w:val="both"/>
    </w:pPr>
    <w:rPr>
      <w:rFonts w:ascii="Calibri" w:eastAsia="宋体" w:cs="Arial" w:hAnsi="Calibri"/>
      <w:kern w:val="2"/>
      <w:sz w:val="21"/>
      <w:szCs w:val="24"/>
      <w:lang w:val="en-US" w:eastAsia="zh-CN" w:bidi="ar-SA"/>
    </w:rPr>
  </w:style>
  <w:style w:type="paragraph" w:customStyle="1" w:styleId="108">
    <w:name w:val="样式 58 10 磅"/>
    <w:pPr>
      <w:widowControl w:val="0"/>
      <w:jc w:val="both"/>
    </w:pPr>
    <w:rPr>
      <w:rFonts w:ascii="Calibri" w:eastAsia="宋体" w:cs="Arial" w:hAnsi="Calibri"/>
      <w:kern w:val="2"/>
      <w:sz w:val="21"/>
      <w:szCs w:val="24"/>
      <w:lang w:val="en-US" w:eastAsia="zh-CN" w:bidi="ar-SA"/>
    </w:rPr>
  </w:style>
  <w:style w:type="paragraph" w:customStyle="1" w:styleId="109">
    <w:name w:val="样式 19 小四"/>
    <w:pPr>
      <w:widowControl w:val="0"/>
      <w:spacing w:line="240" w:lineRule="auto"/>
      <w:jc w:val="left"/>
    </w:pPr>
    <w:rPr>
      <w:rFonts w:ascii="宋体" w:eastAsia="宋体" w:cs="Lucida Sans"/>
      <w:kern w:val="2"/>
      <w:sz w:val="24"/>
      <w:szCs w:val="21"/>
      <w:lang w:val="en-US" w:eastAsia="zh-CN" w:bidi="ar-SA"/>
    </w:rPr>
  </w:style>
  <w:style w:type="paragraph" w:customStyle="1" w:styleId="110">
    <w:name w:val="样式 20 小四"/>
    <w:pPr>
      <w:widowControl w:val="0"/>
      <w:spacing w:line="240" w:lineRule="auto"/>
      <w:jc w:val="left"/>
    </w:pPr>
    <w:rPr>
      <w:rFonts w:ascii="宋体" w:eastAsia="宋体" w:cs="Lucida Sans"/>
      <w:kern w:val="2"/>
      <w:sz w:val="24"/>
      <w:szCs w:val="21"/>
      <w:lang w:val="en-US" w:eastAsia="zh-CN" w:bidi="ar-SA"/>
    </w:rPr>
  </w:style>
  <w:style w:type="paragraph" w:customStyle="1" w:styleId="111">
    <w:name w:val="样式 21 小四"/>
    <w:pPr>
      <w:widowControl w:val="0"/>
      <w:spacing w:line="240" w:lineRule="auto"/>
      <w:jc w:val="left"/>
    </w:pPr>
    <w:rPr>
      <w:rFonts w:ascii="宋体" w:eastAsia="宋体" w:cs="Lucida Sans"/>
      <w:kern w:val="2"/>
      <w:sz w:val="24"/>
      <w:szCs w:val="21"/>
      <w:lang w:val="en-US" w:eastAsia="zh-CN" w:bidi="ar-SA"/>
    </w:rPr>
  </w:style>
  <w:style w:type="paragraph" w:customStyle="1" w:styleId="112">
    <w:name w:val="样式 22 小四"/>
    <w:pPr>
      <w:widowControl w:val="0"/>
      <w:spacing w:line="240" w:lineRule="auto"/>
      <w:jc w:val="left"/>
    </w:pPr>
    <w:rPr>
      <w:rFonts w:ascii="宋体" w:eastAsia="宋体" w:cs="Lucida Sans"/>
      <w:kern w:val="2"/>
      <w:sz w:val="24"/>
      <w:szCs w:val="21"/>
      <w:lang w:val="en-US" w:eastAsia="zh-CN" w:bidi="ar-SA"/>
    </w:rPr>
  </w:style>
  <w:style w:type="paragraph" w:customStyle="1" w:styleId="113">
    <w:name w:val="样式 23 小四"/>
    <w:pPr>
      <w:widowControl w:val="0"/>
      <w:spacing w:line="240" w:lineRule="auto"/>
      <w:jc w:val="left"/>
    </w:pPr>
    <w:rPr>
      <w:rFonts w:ascii="宋体" w:eastAsia="宋体" w:cs="Lucida Sans"/>
      <w:kern w:val="2"/>
      <w:sz w:val="24"/>
      <w:szCs w:val="21"/>
      <w:lang w:val="en-US" w:eastAsia="zh-CN" w:bidi="ar-SA"/>
    </w:rPr>
  </w:style>
  <w:style w:type="paragraph" w:customStyle="1" w:styleId="114">
    <w:name w:val="样式 24 小四"/>
    <w:pPr>
      <w:widowControl w:val="0"/>
      <w:spacing w:line="240" w:lineRule="auto"/>
      <w:jc w:val="left"/>
    </w:pPr>
    <w:rPr>
      <w:rFonts w:ascii="宋体" w:eastAsia="宋体" w:cs="Lucida Sans"/>
      <w:kern w:val="2"/>
      <w:sz w:val="24"/>
      <w:szCs w:val="21"/>
      <w:lang w:val="en-US" w:eastAsia="zh-CN" w:bidi="ar-SA"/>
    </w:rPr>
  </w:style>
  <w:style w:type="paragraph" w:customStyle="1" w:styleId="115">
    <w:name w:val="样式 59 10 磅"/>
    <w:pPr>
      <w:widowControl w:val="0"/>
      <w:jc w:val="both"/>
    </w:pPr>
    <w:rPr>
      <w:rFonts w:ascii="Calibri" w:eastAsia="宋体" w:cs="Arial" w:hAnsi="Calibri"/>
      <w:kern w:val="2"/>
      <w:sz w:val="21"/>
      <w:szCs w:val="24"/>
      <w:lang w:val="en-US" w:eastAsia="zh-CN" w:bidi="ar-SA"/>
    </w:rPr>
  </w:style>
  <w:style w:type="paragraph" w:customStyle="1" w:styleId="116">
    <w:name w:val="样式 25 小四"/>
    <w:pPr>
      <w:widowControl w:val="0"/>
      <w:spacing w:line="240" w:lineRule="auto"/>
      <w:jc w:val="left"/>
    </w:pPr>
    <w:rPr>
      <w:rFonts w:ascii="宋体" w:eastAsia="宋体" w:cs="Lucida Sans"/>
      <w:kern w:val="2"/>
      <w:sz w:val="24"/>
      <w:szCs w:val="21"/>
      <w:lang w:val="en-US" w:eastAsia="zh-CN" w:bidi="ar-SA"/>
    </w:rPr>
  </w:style>
  <w:style w:type="paragraph" w:customStyle="1" w:styleId="117">
    <w:name w:val="样式 26 小四"/>
    <w:pPr>
      <w:widowControl w:val="0"/>
      <w:spacing w:line="240" w:lineRule="auto"/>
      <w:jc w:val="left"/>
    </w:pPr>
    <w:rPr>
      <w:rFonts w:ascii="宋体" w:eastAsia="宋体" w:cs="Lucida Sans"/>
      <w:kern w:val="2"/>
      <w:sz w:val="24"/>
      <w:szCs w:val="21"/>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101</TotalTime>
  <Application>Yozo_Office</Application>
  <Pages>6</Pages>
  <Words>3252</Words>
  <Characters>3554</Characters>
  <Lines>67</Lines>
  <Paragraphs>80</Paragraphs>
  <CharactersWithSpaces>3594</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阿牧古龙</dc:creator>
  <cp:lastModifiedBy>付玮</cp:lastModifiedBy>
  <cp:revision>6</cp:revision>
  <cp:lastPrinted>2026-07-17T17:21:00Z</cp:lastPrinted>
  <dcterms:created xsi:type="dcterms:W3CDTF">2026-06-05T15:16:00Z</dcterms:created>
  <dcterms:modified xsi:type="dcterms:W3CDTF">2026-09-16T09:45:59Z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2052-12.8.2.1112</vt:lpwstr>
  </property>
  <property fmtid="{D5CDD505-2E9C-101B-9397-08002B2CF9AE}" pid="3" name="ICV">
    <vt:lpwstr>BE9978755880403D8044C28543477F16_13</vt:lpwstr>
  </property>
  <property fmtid="{D5CDD505-2E9C-101B-9397-08002B2CF9AE}" pid="4" name="KSOTemplateDocerSaveRecord">
    <vt:lpwstr>eyJoZGlkIjoiMDRhYjQ2MmQ4YWM2OTJjNDIzYzlhMGQ1YTBjNTk1M2UiLCJ1c2VySWQiOiIyODk3MjQzNDQifQ==</vt:lpwstr>
  </property>
</Properties>
</file>