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方正黑体_GBK" w:eastAsia="方正黑体_GBK" w:cs="方正黑体_GBK"/>
          <w:sz w:val="32"/>
          <w:szCs w:val="32"/>
        </w:rPr>
      </w:pPr>
      <w:bookmarkStart w:id="0" w:name="_GoBack"/>
      <w:bookmarkEnd w:id="0"/>
      <w:r>
        <w:rPr>
          <w:rFonts w:ascii="方正黑体_GBK" w:eastAsia="方正黑体_GBK" w:cs="方正黑体_GBK" w:hint="eastAsia"/>
          <w:sz w:val="32"/>
          <w:szCs w:val="32"/>
        </w:rPr>
        <w:t>附件1</w:t>
      </w:r>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w:t>
      </w:r>
    </w:p>
    <w:tbl>
      <w:tblPr>
        <w:jc w:val="left"/>
        <w:tblInd w:w="0" w:type="dxa"/>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98"/>
        <w:gridCol w:w="6862"/>
      </w:tblGrid>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赛罕海关机房综合布线改造采购项目</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需求部门</w:t>
            </w:r>
          </w:p>
        </w:tc>
        <w:tc>
          <w:tcPr>
            <w:tcW w:w="6862" w:type="dxa"/>
            <w:vAlign w:val="center"/>
          </w:tcPr>
          <w:p>
            <w:pPr>
              <w:spacing w:line="560" w:lineRule="exact"/>
              <w:jc w:val="center"/>
              <w:rPr>
                <w:rFonts w:ascii="方正仿宋_GBK" w:eastAsia="方正仿宋_GBK" w:cs="方正仿宋_GBK"/>
                <w:sz w:val="28"/>
                <w:szCs w:val="28"/>
              </w:rPr>
            </w:pP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40000</w:t>
            </w:r>
            <w:r>
              <w:rPr>
                <w:rFonts w:ascii="方正仿宋_GBK" w:eastAsia="方正仿宋_GBK" w:cs="方正仿宋_GBK" w:hint="eastAsia"/>
                <w:sz w:val="28"/>
                <w:szCs w:val="28"/>
              </w:rPr>
              <w:t>元</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审批文件</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赛关集签〔 2026 〕 16号</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经费来源</w:t>
            </w:r>
          </w:p>
        </w:tc>
        <w:tc>
          <w:tcPr>
            <w:tcW w:w="6862" w:type="dxa"/>
            <w:vAlign w:val="center"/>
          </w:tcPr>
          <w:p>
            <w:pPr>
              <w:spacing w:line="560" w:lineRule="exact"/>
              <w:jc w:val="center"/>
              <w:rPr>
                <w:rFonts w:ascii="方正仿宋_GBK" w:eastAsia="方正仿宋_GBK" w:cs="方正仿宋_GBK"/>
                <w:sz w:val="28"/>
                <w:szCs w:val="28"/>
              </w:rPr>
            </w:pPr>
            <w:r>
              <w:rPr>
                <w:rFonts w:eastAsia="方正仿宋_GBK"/>
                <w:spacing w:val="-4"/>
                <w:sz w:val="32"/>
                <w:szCs w:val="32"/>
                <w:bdr w:val="none" w:sz="0" w:space="0" w:color="auto"/>
              </w:rPr>
              <w:t>行政运行</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862" w:type="dxa"/>
            <w:vAlign w:val="center"/>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t>综合评分法（权重：价格30%、评审因素</w:t>
            </w:r>
            <w:r>
              <w:rPr>
                <w:rFonts w:ascii="方正仿宋_GBK" w:eastAsia="方正仿宋_GBK" w:cs="方正仿宋_GBK"/>
                <w:sz w:val="28"/>
                <w:szCs w:val="28"/>
              </w:rPr>
              <w:t>70</w:t>
            </w:r>
            <w:r>
              <w:rPr>
                <w:rFonts w:ascii="方正仿宋_GBK" w:eastAsia="方正仿宋_GBK" w:cs="方正仿宋_GBK" w:hint="eastAsia"/>
                <w:sz w:val="28"/>
                <w:szCs w:val="28"/>
              </w:rPr>
              <w:t>%）</w:t>
            </w:r>
          </w:p>
        </w:tc>
      </w:tr>
      <w:tr>
        <w:trPr>
          <w:trHeight w:val="567"/>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编制人</w:t>
            </w:r>
          </w:p>
        </w:tc>
        <w:tc>
          <w:tcPr>
            <w:tcW w:w="6862" w:type="dxa"/>
            <w:vAlign w:val="center"/>
          </w:tcPr>
          <w:p>
            <w:pPr>
              <w:spacing w:line="560" w:lineRule="exact"/>
              <w:jc w:val="center"/>
              <w:rPr>
                <w:rFonts w:ascii="方正仿宋_GBK" w:eastAsia="方正仿宋_GBK" w:cs="方正仿宋_GBK"/>
                <w:sz w:val="28"/>
                <w:szCs w:val="28"/>
              </w:rPr>
            </w:pP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复核人</w:t>
            </w:r>
          </w:p>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（科室负责人）</w:t>
            </w:r>
          </w:p>
        </w:tc>
        <w:tc>
          <w:tcPr>
            <w:tcW w:w="6862" w:type="dxa"/>
            <w:vAlign w:val="center"/>
          </w:tcPr>
          <w:p>
            <w:pPr>
              <w:spacing w:line="560" w:lineRule="exact"/>
              <w:jc w:val="center"/>
              <w:rPr>
                <w:rFonts w:ascii="方正仿宋_GBK" w:eastAsia="方正仿宋_GBK" w:cs="方正仿宋_GBK"/>
                <w:sz w:val="28"/>
                <w:szCs w:val="28"/>
              </w:rPr>
            </w:pP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审核人</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r>
              <w:rPr>
                <w:rFonts w:ascii="方正仿宋_GBK" w:eastAsia="方正仿宋_GBK" w:cs="方正仿宋_GBK"/>
                <w:sz w:val="28"/>
                <w:szCs w:val="28"/>
              </w:rPr>
              <w:t>部门负责人</w:t>
            </w:r>
            <w:r>
              <w:rPr>
                <w:rFonts w:ascii="方正仿宋_GBK" w:eastAsia="方正仿宋_GBK" w:cs="方正仿宋_GBK" w:hint="eastAsia"/>
                <w:sz w:val="28"/>
                <w:szCs w:val="28"/>
              </w:rPr>
              <w:t>）</w:t>
            </w:r>
          </w:p>
        </w:tc>
        <w:tc>
          <w:tcPr>
            <w:tcW w:w="6862" w:type="dxa"/>
            <w:vAlign w:val="center"/>
          </w:tcPr>
          <w:p>
            <w:pPr>
              <w:spacing w:line="560" w:lineRule="exact"/>
              <w:jc w:val="center"/>
              <w:rPr>
                <w:rFonts w:ascii="方正仿宋_GBK" w:eastAsia="方正仿宋_GBK" w:cs="方正仿宋_GBK"/>
                <w:sz w:val="28"/>
                <w:szCs w:val="28"/>
              </w:rPr>
            </w:pPr>
          </w:p>
        </w:tc>
      </w:tr>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4731"/>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862"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1.不满足资格条件的响应文件将按无效响应文件处理。</w:t>
            </w:r>
          </w:p>
          <w:p>
            <w:pPr>
              <w:spacing w:line="400" w:lineRule="exact"/>
              <w:rPr>
                <w:rFonts w:ascii="方正仿宋_GBK" w:eastAsia="方正仿宋_GBK" w:cs="方正仿宋_GBK" w:hint="eastAsia"/>
                <w:sz w:val="28"/>
                <w:szCs w:val="28"/>
              </w:rPr>
            </w:pPr>
            <w:r>
              <w:rPr>
                <w:rFonts w:ascii="Times New Roman" w:eastAsia="方正仿宋_GBK" w:cs="Times New Roman" w:hAnsi="Times New Roman"/>
                <w:sz w:val="28"/>
                <w:szCs w:val="28"/>
              </w:rPr>
              <w:t>2.</w:t>
            </w:r>
            <w:r>
              <w:rPr>
                <w:rFonts w:ascii="方正仿宋_GBK" w:eastAsia="方正仿宋_GBK" w:cs="方正仿宋_GBK" w:hint="eastAsia"/>
                <w:sz w:val="28"/>
                <w:szCs w:val="28"/>
              </w:rPr>
              <w:t>详细需求栏中所有加“★”项的需求均为实质性要求，不满足实质性要求的响应文件将按无效响应文件处理。</w:t>
            </w:r>
          </w:p>
          <w:p>
            <w:pPr>
              <w:spacing w:line="400" w:lineRule="exact"/>
              <w:rPr>
                <w:rFonts w:ascii="Times New Roman" w:eastAsia="方正仿宋_GBK" w:cs="Times New Roman" w:hAnsi="Times New Roman"/>
                <w:sz w:val="28"/>
                <w:szCs w:val="28"/>
              </w:rPr>
            </w:pPr>
            <w:r>
              <w:rPr>
                <w:rFonts w:ascii="方正仿宋_GBK" w:eastAsia="方正仿宋_GBK" w:cs="方正仿宋_GBK" w:hint="eastAsia"/>
                <w:sz w:val="28"/>
                <w:szCs w:val="28"/>
                <w:lang w:val="en-US" w:eastAsia="zh-CN"/>
              </w:rPr>
              <w:t>3.</w:t>
            </w:r>
            <w:r>
              <w:rPr>
                <w:rFonts w:ascii="Times New Roman" w:eastAsia="方正仿宋_GBK" w:cs="Times New Roman" w:hAnsi="Times New Roman"/>
                <w:sz w:val="28"/>
                <w:szCs w:val="28"/>
              </w:rPr>
              <w:t>预算金额共</w:t>
            </w:r>
            <w:r>
              <w:rPr>
                <w:rFonts w:ascii="Times New Roman" w:eastAsia="方正仿宋_GBK" w:cs="Times New Roman" w:hAnsi="Times New Roman" w:hint="eastAsia"/>
                <w:sz w:val="28"/>
                <w:szCs w:val="28"/>
                <w:lang w:val="en-US" w:eastAsia="zh-CN"/>
              </w:rPr>
              <w:t>40000</w:t>
            </w:r>
            <w:r>
              <w:rPr>
                <w:rFonts w:ascii="Times New Roman" w:eastAsia="方正仿宋_GBK" w:cs="Times New Roman" w:hAnsi="Times New Roman"/>
                <w:sz w:val="28"/>
                <w:szCs w:val="28"/>
              </w:rPr>
              <w:t>元，如超过此金额</w:t>
            </w:r>
            <w:r>
              <w:rPr>
                <w:rFonts w:ascii="方正仿宋_GBK" w:eastAsia="方正仿宋_GBK" w:cs="方正仿宋_GBK" w:hint="eastAsia"/>
                <w:sz w:val="28"/>
                <w:szCs w:val="28"/>
              </w:rPr>
              <w:t>将按无效响应文件处理</w:t>
            </w:r>
            <w:r>
              <w:rPr>
                <w:rFonts w:ascii="Times New Roman" w:eastAsia="方正仿宋_GBK" w:cs="Times New Roman" w:hAnsi="Times New Roman"/>
                <w:sz w:val="28"/>
                <w:szCs w:val="28"/>
              </w:rPr>
              <w:t>。</w:t>
            </w:r>
          </w:p>
          <w:p>
            <w:pPr>
              <w:spacing w:line="400" w:lineRule="exact"/>
              <w:rPr>
                <w:rFonts w:ascii="Times New Roman" w:eastAsia="方正仿宋_GBK" w:cs="Times New Roman" w:hAnsi="Times New Roman" w:hint="eastAsia"/>
                <w:sz w:val="28"/>
                <w:szCs w:val="28"/>
                <w:lang w:val="en-US" w:eastAsia="zh-CN"/>
              </w:rPr>
            </w:pPr>
            <w:r>
              <w:rPr>
                <w:rFonts w:ascii="Times New Roman" w:eastAsia="方正仿宋_GBK" w:cs="Times New Roman" w:hAnsi="Times New Roman" w:hint="eastAsia"/>
                <w:sz w:val="28"/>
                <w:szCs w:val="28"/>
                <w:lang w:val="en-US" w:eastAsia="zh-CN"/>
              </w:rPr>
              <w:t>4.投标报价须包含拆装、走线架辅材、全新网线光纤、标签耗材、人工、垃圾清运、质保、各类税费等全部费用，不得分项漏报，报价为固定含税总价，采购人无需支付任何额外费用，如不满足</w:t>
            </w:r>
            <w:r>
              <w:rPr>
                <w:rFonts w:ascii="方正仿宋_GBK" w:eastAsia="方正仿宋_GBK" w:cs="方正仿宋_GBK" w:hint="eastAsia"/>
                <w:sz w:val="28"/>
                <w:szCs w:val="28"/>
              </w:rPr>
              <w:t>将按无效响应文件处理</w:t>
            </w:r>
            <w:r>
              <w:rPr>
                <w:rFonts w:ascii="方正仿宋_GBK" w:eastAsia="方正仿宋_GBK" w:cs="方正仿宋_GBK" w:hint="eastAsia"/>
                <w:sz w:val="28"/>
                <w:szCs w:val="28"/>
                <w:lang w:eastAsia="zh-CN"/>
              </w:rPr>
              <w:t>。</w:t>
            </w:r>
          </w:p>
        </w:tc>
      </w:tr>
      <w:tr>
        <w:trPr>
          <w:trHeight w:val="3568"/>
        </w:trPr>
        <w:tc>
          <w:tcPr>
            <w:tcW w:w="2198" w:type="dxa"/>
            <w:vAlign w:val="center"/>
          </w:tcPr>
          <w:p>
            <w:pPr>
              <w:spacing w:line="560" w:lineRule="exact"/>
              <w:jc w:val="center"/>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资格条件</w:t>
            </w:r>
          </w:p>
        </w:tc>
        <w:tc>
          <w:tcPr>
            <w:tcW w:w="6862" w:type="dxa"/>
            <w:vAlign w:val="center"/>
          </w:tcPr>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1.具有独立承担民事责任的能力。</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2.单位负责人为同一人或者存在直接控股、管理关系的不同服务商，不得参加同一合同项下的采购活动。</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对在“信用中国”网站(www.creditchina.gov.cn)、中国政府采购网(www.ccgp.gov.cn)等渠道列入失信被执行人、重大税收违法失信主体、政府采购严重违法失信行为记录名单及其他不符合《中华人民共和国政府采购法》第二十二条规定条件的服务商，不得参与采购活动。</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4.参加政府采购前三年内，在经营活动中没有重大违法记录，提供书面承诺函。</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5.供应商具备实施弱电、综合布线、机房整治项目能力（提供承诺函）。</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6. 本项目</w:t>
            </w:r>
            <w:r>
              <w:rPr>
                <w:rFonts w:ascii="Times New Roman" w:eastAsia="方正仿宋_GBK" w:cs="Times New Roman" w:hAnsi="Times New Roman"/>
                <w:sz w:val="28"/>
                <w:szCs w:val="28"/>
              </w:rPr>
              <w:t>严禁</w:t>
            </w:r>
            <w:r>
              <w:rPr>
                <w:rFonts w:ascii="Times New Roman" w:eastAsia="方正仿宋_GBK" w:cs="Times New Roman" w:hAnsi="Times New Roman" w:hint="eastAsia"/>
                <w:sz w:val="28"/>
                <w:szCs w:val="28"/>
              </w:rPr>
              <w:t>联合体投标</w:t>
            </w:r>
            <w:r>
              <w:rPr>
                <w:rFonts w:ascii="Times New Roman" w:eastAsia="方正仿宋_GBK" w:cs="Times New Roman" w:hAnsi="Times New Roman"/>
                <w:sz w:val="28"/>
                <w:szCs w:val="28"/>
              </w:rPr>
              <w:t>、</w:t>
            </w:r>
            <w:r>
              <w:rPr>
                <w:rFonts w:ascii="Times New Roman" w:eastAsia="方正仿宋_GBK" w:cs="Times New Roman" w:hAnsi="Times New Roman" w:hint="eastAsia"/>
                <w:sz w:val="28"/>
                <w:szCs w:val="28"/>
              </w:rPr>
              <w:t>转包</w:t>
            </w:r>
            <w:r>
              <w:rPr>
                <w:rFonts w:ascii="Times New Roman" w:eastAsia="方正仿宋_GBK" w:cs="Times New Roman" w:hAnsi="Times New Roman"/>
                <w:sz w:val="28"/>
                <w:szCs w:val="28"/>
              </w:rPr>
              <w:t>，</w:t>
            </w:r>
            <w:r>
              <w:rPr>
                <w:rFonts w:ascii="Times New Roman" w:eastAsia="方正仿宋_GBK" w:cs="Times New Roman" w:hAnsi="Times New Roman" w:hint="eastAsia"/>
                <w:sz w:val="28"/>
                <w:szCs w:val="28"/>
              </w:rPr>
              <w:t>未经采购人书面同意不得分包。</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7. 项目实施团队配置要求：</w:t>
            </w:r>
          </w:p>
          <w:p>
            <w:pPr>
              <w:spacing w:line="400" w:lineRule="exact"/>
              <w:rPr>
                <w:rFonts w:ascii="Times New Roman" w:eastAsia="方正仿宋_GBK" w:cs="Times New Roman" w:hAnsi="Times New Roman"/>
                <w:sz w:val="28"/>
                <w:szCs w:val="28"/>
                <w:lang w:val="en-US" w:eastAsia="zh-CN"/>
              </w:rPr>
            </w:pPr>
            <w:r>
              <w:rPr>
                <w:rFonts w:ascii="Times New Roman" w:eastAsia="方正仿宋_GBK" w:cs="Times New Roman" w:hAnsi="Times New Roman" w:hint="eastAsia"/>
                <w:sz w:val="28"/>
                <w:szCs w:val="28"/>
              </w:rPr>
              <w:t>（1）现场施工人员中必须至少1人持有有效低压电工特种作业操作证，需持证上岗；</w:t>
            </w:r>
            <w:r>
              <w:rPr>
                <w:rFonts w:ascii="Times New Roman" w:eastAsia="方正仿宋_GBK" w:cs="Times New Roman" w:hAnsi="Times New Roman" w:hint="eastAsia"/>
                <w:sz w:val="28"/>
                <w:szCs w:val="28"/>
                <w:lang w:val="en-US" w:eastAsia="zh-CN"/>
              </w:rPr>
              <w:t>并有一人</w:t>
            </w:r>
            <w:r>
              <w:rPr>
                <w:rFonts w:ascii="Times New Roman" w:eastAsia="方正仿宋_GBK" w:cs="Times New Roman" w:hAnsi="Times New Roman" w:hint="eastAsia"/>
                <w:sz w:val="28"/>
                <w:szCs w:val="28"/>
              </w:rPr>
              <w:t>具备光缆熔接实操经验人员，自备光纤熔接机，中标后</w:t>
            </w:r>
            <w:r>
              <w:rPr>
                <w:rFonts w:ascii="Times New Roman" w:eastAsia="方正仿宋_GBK" w:cs="Times New Roman" w:hAnsi="Times New Roman" w:hint="eastAsia"/>
                <w:sz w:val="28"/>
                <w:szCs w:val="28"/>
                <w:lang w:val="en-US" w:eastAsia="zh-CN"/>
              </w:rPr>
              <w:t>每日</w:t>
            </w:r>
            <w:r>
              <w:rPr>
                <w:rFonts w:ascii="Times New Roman" w:eastAsia="方正仿宋_GBK" w:cs="Times New Roman" w:hAnsi="Times New Roman" w:hint="eastAsia"/>
                <w:sz w:val="28"/>
                <w:szCs w:val="28"/>
              </w:rPr>
              <w:t>进场</w:t>
            </w:r>
            <w:r>
              <w:rPr>
                <w:rFonts w:ascii="Times New Roman" w:eastAsia="方正仿宋_GBK" w:cs="Times New Roman" w:hAnsi="Times New Roman" w:hint="eastAsia"/>
                <w:sz w:val="28"/>
                <w:szCs w:val="28"/>
                <w:lang w:val="en-US" w:eastAsia="zh-CN"/>
              </w:rPr>
              <w:t>必须携带光纤熔接机；并且相关人员须为本单位在职人员；提供书面承诺函。</w:t>
            </w:r>
          </w:p>
        </w:tc>
      </w:tr>
      <w:tr>
        <w:trPr>
          <w:trHeight w:val="1082"/>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实质性需求</w:t>
            </w:r>
          </w:p>
        </w:tc>
        <w:tc>
          <w:tcPr>
            <w:tcW w:w="6862" w:type="dxa"/>
          </w:tcPr>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一、废旧线缆清退要求</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1.机房内所有废弃、停用网线、光纤线缆全部撤出清理，机房地板下、机柜内无遗留废弃线缆；所有机柜内部、机柜表面全面清扫除尘，施工完成后现场无杂物、废料、积尘。</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二、线缆标签标准化施工要求</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1.机房所有在用网线、光纤必须统一制作、粘贴永久性对应标识标签；</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 本项目机房为四楼核心网络机房，机房引出连通 1-5 楼各办公室、会议室点位的网线及光纤，对应线缆标签需清晰标注对应楼层、房间（办公室、会议室）点位、机房机柜编号、端口信息，适应机房常温环境，≥5 年不脱落、字迹清晰。</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三、地板下走线架铺设施工标准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1.走线架铺设起点：楼层弱电竖井穿墙孔进入防静电地板下位置，全程悬空架设走线架，严禁线缆、走线架直接贴地面放置；</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2.走线架敷设路径精准延伸至各目标机柜底部，利用机柜底部预留开孔引入线缆，不得私自开孔破坏机柜结构；</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 新铺设线缆实行同架分槽分离：网线与光纤在同一走线架内部进行物理分区布放，强弱线路物理分隔，严禁混束缠绕。</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四、线缆更换及产品技术参数硬性标准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1.机柜内全部原有网线、光纤跳线统一更换为成品线缆；现场发现外皮破损、弯折老化、接头损坏的各类网络线缆全部换新；</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 机房内跨机柜互联线缆，现场核查存在长度不足、老化受损、无法满足规整走线及稳定运行要求的，须同步更换全新线缆；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3.线缆最低技术规格不得低于以下标准，投标时须提供产品参数证明、原厂质保材料：</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（1）网线：</w:t>
            </w:r>
            <w:r>
              <w:rPr>
                <w:rFonts w:ascii="Times New Roman" w:eastAsia="方正仿宋_GBK" w:cs="Times New Roman" w:hAnsi="Times New Roman" w:hint="eastAsia"/>
                <w:sz w:val="28"/>
                <w:szCs w:val="28"/>
                <w:lang w:val="en-US" w:eastAsia="zh-CN"/>
              </w:rPr>
              <w:t>国标</w:t>
            </w:r>
            <w:r>
              <w:rPr>
                <w:rFonts w:ascii="Times New Roman" w:eastAsia="方正仿宋_GBK" w:cs="Times New Roman" w:hAnsi="Times New Roman" w:hint="eastAsia"/>
                <w:sz w:val="28"/>
                <w:szCs w:val="28"/>
              </w:rPr>
              <w:t>六类及以上网线；</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（2）多模光纤：OM4 等级及以上；</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（3）单模光纤：G.652D 及以上标准。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 xml:space="preserve">  五、走线架材质标准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1.采用镀锌钢制机房专用走线架，板材厚度、防火等性能符合《通信机房线缆桥架技术规范》相关要求，禁止使用塑料、薄壁易变形劣质桥架，</w:t>
            </w:r>
            <w:r>
              <w:rPr>
                <w:rFonts w:ascii="Times New Roman" w:eastAsia="方正仿宋_GBK" w:cs="Times New Roman" w:hAnsi="Times New Roman" w:hint="eastAsia"/>
                <w:sz w:val="28"/>
                <w:szCs w:val="28"/>
                <w:lang w:val="en-US" w:eastAsia="zh-CN"/>
              </w:rPr>
              <w:t>中标后</w:t>
            </w:r>
            <w:r>
              <w:rPr>
                <w:rFonts w:ascii="Times New Roman" w:eastAsia="方正仿宋_GBK" w:cs="Times New Roman" w:hAnsi="Times New Roman" w:hint="eastAsia"/>
                <w:sz w:val="28"/>
                <w:szCs w:val="28"/>
              </w:rPr>
              <w:t>需提供走线架材质检测报告。</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 xml:space="preserve">  六、线路整理</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1.强弱电线缆必须分离并规范捆绑，严禁混扎；</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2.交换机、路由器、防火墙等所有网络设备及配线架下方必须加装理线架；</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3.彻底清理飞线与裸露线缆，墙面线缆一律使用阻燃线槽覆盖，确保无安全隐患。</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七、施工、安全及交付实质性约束</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1.施工全过程不得损坏机房原有网络设备、服务器、供电、消防、防静电地板、墙体孔洞、视频监控、精密空调等原有基础设施，</w:t>
            </w:r>
            <w:r>
              <w:rPr>
                <w:rFonts w:ascii="Times New Roman" w:eastAsia="方正仿宋_GBK" w:cs="Times New Roman" w:hAnsi="Times New Roman" w:hint="eastAsia"/>
                <w:sz w:val="28"/>
                <w:szCs w:val="28"/>
                <w:lang w:val="en-US" w:eastAsia="zh-CN"/>
              </w:rPr>
              <w:t>在施工操作中</w:t>
            </w:r>
            <w:r>
              <w:rPr>
                <w:rFonts w:ascii="Times New Roman" w:eastAsia="方正仿宋_GBK" w:cs="Times New Roman" w:hAnsi="Times New Roman" w:hint="eastAsia"/>
                <w:sz w:val="28"/>
                <w:szCs w:val="28"/>
              </w:rPr>
              <w:t>造成损坏</w:t>
            </w:r>
            <w:r>
              <w:rPr>
                <w:rFonts w:ascii="Times New Roman" w:eastAsia="方正仿宋_GBK" w:cs="Times New Roman" w:hAnsi="Times New Roman" w:hint="eastAsia"/>
                <w:sz w:val="28"/>
                <w:szCs w:val="28"/>
                <w:lang w:val="en-US" w:eastAsia="zh-CN"/>
              </w:rPr>
              <w:t>的</w:t>
            </w:r>
            <w:r>
              <w:rPr>
                <w:rFonts w:ascii="Times New Roman" w:eastAsia="方正仿宋_GBK" w:cs="Times New Roman" w:hAnsi="Times New Roman" w:hint="eastAsia"/>
                <w:sz w:val="28"/>
                <w:szCs w:val="28"/>
              </w:rPr>
              <w:t>由中标单位全额赔偿修复</w:t>
            </w:r>
            <w:r>
              <w:rPr>
                <w:rFonts w:ascii="Times New Roman" w:eastAsia="方正仿宋_GBK" w:cs="Times New Roman" w:hAnsi="Times New Roman" w:hint="eastAsia"/>
                <w:sz w:val="28"/>
                <w:szCs w:val="28"/>
                <w:lang w:eastAsia="zh-CN"/>
              </w:rPr>
              <w:t>（</w:t>
            </w:r>
            <w:r>
              <w:rPr>
                <w:rFonts w:ascii="Times New Roman" w:eastAsia="方正仿宋_GBK" w:cs="Times New Roman" w:hAnsi="Times New Roman" w:hint="eastAsia"/>
                <w:sz w:val="28"/>
                <w:szCs w:val="28"/>
                <w:lang w:val="en-US" w:eastAsia="zh-CN"/>
              </w:rPr>
              <w:t>非中标单位施工操作原因造成的损坏除外）</w:t>
            </w:r>
            <w:r>
              <w:rPr>
                <w:rFonts w:ascii="Times New Roman" w:eastAsia="方正仿宋_GBK" w:cs="Times New Roman" w:hAnsi="Times New Roman" w:hint="eastAsia"/>
                <w:sz w:val="28"/>
                <w:szCs w:val="28"/>
              </w:rPr>
              <w:t>；</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2.施工周期：须承诺在甲方指定工期内完成全部理线、布线、清线、标签、清扫等工作，施工避开机关办公业务高峰时段。</w:t>
            </w:r>
          </w:p>
          <w:p>
            <w:pPr>
              <w:spacing w:line="400" w:lineRule="exact"/>
              <w:rPr>
                <w:rFonts w:ascii="Times New Roman" w:eastAsia="方正仿宋_GBK" w:cs="Times New Roman" w:hAnsi="Times New Roman" w:hint="eastAsia"/>
                <w:sz w:val="28"/>
                <w:szCs w:val="28"/>
              </w:rPr>
            </w:pPr>
            <w:r>
              <w:rPr>
                <w:rFonts w:ascii="Times New Roman" w:eastAsia="方正仿宋_GBK" w:cs="Times New Roman" w:hAnsi="Times New Roman" w:hint="eastAsia"/>
                <w:sz w:val="28"/>
                <w:szCs w:val="28"/>
              </w:rPr>
              <w:t>3. 本项目为在用核心机房不停机整治施工，施工全过程保障办公网络稳定运行。若因施工操作引发突发断网、业务掉线、系统异常故障，中标单位须立即停止施工，启动应急回切机制，单次故障断网恢复时长不得超过 20 分钟。因施工原因造成断网超时，引发业务中断、各类损失及不良影响，全部由中标单位承担。</w:t>
            </w:r>
          </w:p>
        </w:tc>
      </w:tr>
      <w:tr>
        <w:trPr>
          <w:trHeight w:val="3753"/>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评审因素</w:t>
            </w:r>
          </w:p>
        </w:tc>
        <w:tc>
          <w:tcPr>
            <w:tcW w:w="6862" w:type="dxa"/>
          </w:tcPr>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总分 100 分，综合评分法，价格分 30 分、商务资信 25 分、技术施工方案 40 分、售后服务 5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一、价格部分（30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1.价格分统一采用低价优先法计算，满足招标文件全部实质性需求且投标报价最低的投标报价为评标基准价，价格满分 30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2.其他投标人价格得分 =（评标基准价 ÷ 投标报价）×30，保留两位小数。评标委员会可对异常低价报价进行核查，要求投标人提供成本说明及合规承诺。</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二、商务资信部分（25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1.同类项目业绩（12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近3年机房布线改造项目业绩，每份完整有效合同得3分，最高12分；业绩</w:t>
            </w:r>
            <w:r>
              <w:rPr>
                <w:rFonts w:ascii="方正仿宋_GBK" w:eastAsia="方正仿宋_GBK" w:cs="方正仿宋_GBK" w:hint="eastAsia"/>
                <w:sz w:val="28"/>
                <w:szCs w:val="28"/>
                <w:lang w:val="en-US" w:eastAsia="zh-CN"/>
              </w:rPr>
              <w:t>合同包含</w:t>
            </w:r>
            <w:r>
              <w:rPr>
                <w:rFonts w:ascii="方正仿宋_GBK" w:eastAsia="方正仿宋_GBK" w:cs="方正仿宋_GBK" w:hint="eastAsia"/>
                <w:sz w:val="28"/>
                <w:szCs w:val="28"/>
              </w:rPr>
              <w:t>机房</w:t>
            </w:r>
            <w:r>
              <w:rPr>
                <w:rFonts w:ascii="方正仿宋_GBK" w:eastAsia="方正仿宋_GBK" w:cs="方正仿宋_GBK" w:hint="eastAsia"/>
                <w:sz w:val="28"/>
                <w:szCs w:val="28"/>
                <w:lang w:val="en-US" w:eastAsia="zh-CN"/>
              </w:rPr>
              <w:t>布线</w:t>
            </w:r>
            <w:r>
              <w:rPr>
                <w:rFonts w:ascii="方正仿宋_GBK" w:eastAsia="方正仿宋_GBK" w:cs="方正仿宋_GBK" w:hint="eastAsia"/>
                <w:sz w:val="28"/>
                <w:szCs w:val="28"/>
              </w:rPr>
              <w:t>，线缆标签</w:t>
            </w:r>
            <w:r>
              <w:rPr>
                <w:rFonts w:ascii="方正仿宋_GBK" w:eastAsia="方正仿宋_GBK" w:cs="方正仿宋_GBK" w:hint="eastAsia"/>
                <w:sz w:val="28"/>
                <w:szCs w:val="28"/>
                <w:lang w:val="en-US" w:eastAsia="zh-CN"/>
              </w:rPr>
              <w:t>梳理等相关实施</w:t>
            </w:r>
            <w:r>
              <w:rPr>
                <w:rFonts w:ascii="方正仿宋_GBK" w:eastAsia="方正仿宋_GBK" w:cs="方正仿宋_GBK" w:hint="eastAsia"/>
                <w:sz w:val="28"/>
                <w:szCs w:val="28"/>
              </w:rPr>
              <w:t>内容</w:t>
            </w:r>
            <w:r>
              <w:rPr>
                <w:rFonts w:ascii="方正仿宋_GBK" w:eastAsia="方正仿宋_GBK" w:cs="方正仿宋_GBK" w:hint="eastAsia"/>
                <w:sz w:val="28"/>
                <w:szCs w:val="28"/>
                <w:lang w:val="en-US" w:eastAsia="zh-CN"/>
              </w:rPr>
              <w:t>即可</w:t>
            </w:r>
            <w:r>
              <w:rPr>
                <w:rFonts w:ascii="方正仿宋_GBK" w:eastAsia="方正仿宋_GBK" w:cs="方正仿宋_GBK" w:hint="eastAsia"/>
                <w:sz w:val="28"/>
                <w:szCs w:val="28"/>
              </w:rPr>
              <w:t>，</w:t>
            </w:r>
            <w:r>
              <w:rPr>
                <w:rFonts w:ascii="方正仿宋_GBK" w:eastAsia="方正仿宋_GBK" w:cs="方正仿宋_GBK" w:hint="eastAsia"/>
                <w:sz w:val="28"/>
                <w:szCs w:val="28"/>
                <w:lang w:val="en-US" w:eastAsia="zh-CN"/>
              </w:rPr>
              <w:t>未体现上述内容的业绩合同</w:t>
            </w:r>
            <w:r>
              <w:rPr>
                <w:rFonts w:ascii="方正仿宋_GBK" w:eastAsia="方正仿宋_GBK" w:cs="方正仿宋_GBK" w:hint="eastAsia"/>
                <w:sz w:val="28"/>
                <w:szCs w:val="28"/>
              </w:rPr>
              <w:t>不计分。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2.财务及纳税社保（5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提供完整近一年审计报告</w:t>
            </w:r>
            <w:r>
              <w:rPr>
                <w:rFonts w:ascii="方正仿宋_GBK" w:eastAsia="方正仿宋_GBK" w:cs="方正仿宋_GBK" w:hint="eastAsia"/>
                <w:sz w:val="28"/>
                <w:szCs w:val="28"/>
                <w:lang w:val="en-US" w:eastAsia="zh-CN"/>
              </w:rPr>
              <w:t>或银行资信证明；提供投标截止日前6 个月内任意一期纳税、社保凭证；依法免税、无需缴纳社保的提供相应说明；成立不足期限的提供自成立以来材料</w:t>
            </w:r>
            <w:r>
              <w:rPr>
                <w:rFonts w:ascii="方正仿宋_GBK" w:eastAsia="方正仿宋_GBK" w:cs="方正仿宋_GBK" w:hint="eastAsia"/>
                <w:sz w:val="28"/>
                <w:szCs w:val="28"/>
              </w:rPr>
              <w:t>，材料齐全得 5 分，缺一项</w:t>
            </w:r>
            <w:r>
              <w:rPr>
                <w:rFonts w:ascii="方正仿宋_GBK" w:eastAsia="方正仿宋_GBK" w:cs="方正仿宋_GBK" w:hint="eastAsia"/>
                <w:sz w:val="28"/>
                <w:szCs w:val="28"/>
                <w:lang w:val="en-US" w:eastAsia="zh-CN"/>
              </w:rPr>
              <w:t>得3</w:t>
            </w:r>
            <w:r>
              <w:rPr>
                <w:rFonts w:ascii="方正仿宋_GBK" w:eastAsia="方正仿宋_GBK" w:cs="方正仿宋_GBK" w:hint="eastAsia"/>
                <w:sz w:val="28"/>
                <w:szCs w:val="28"/>
              </w:rPr>
              <w:t>分，缺</w:t>
            </w:r>
            <w:r>
              <w:rPr>
                <w:rFonts w:ascii="方正仿宋_GBK" w:eastAsia="方正仿宋_GBK" w:cs="方正仿宋_GBK" w:hint="eastAsia"/>
                <w:sz w:val="28"/>
                <w:szCs w:val="28"/>
                <w:lang w:val="en-US" w:eastAsia="zh-CN"/>
              </w:rPr>
              <w:t>少</w:t>
            </w:r>
            <w:r>
              <w:rPr>
                <w:rFonts w:ascii="方正仿宋_GBK" w:eastAsia="方正仿宋_GBK" w:cs="方正仿宋_GBK" w:hint="eastAsia"/>
                <w:sz w:val="28"/>
                <w:szCs w:val="28"/>
              </w:rPr>
              <w:t>两项</w:t>
            </w:r>
            <w:r>
              <w:rPr>
                <w:rFonts w:ascii="方正仿宋_GBK" w:eastAsia="方正仿宋_GBK" w:cs="方正仿宋_GBK" w:hint="eastAsia"/>
                <w:sz w:val="28"/>
                <w:szCs w:val="28"/>
                <w:lang w:val="en-US" w:eastAsia="zh-CN"/>
              </w:rPr>
              <w:t>及以上</w:t>
            </w:r>
            <w:r>
              <w:rPr>
                <w:rFonts w:ascii="方正仿宋_GBK" w:eastAsia="方正仿宋_GBK" w:cs="方正仿宋_GBK" w:hint="eastAsia"/>
                <w:sz w:val="28"/>
                <w:szCs w:val="28"/>
              </w:rPr>
              <w:t>不得分。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3.项目管理团队资质（5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项目负责人具备3年</w:t>
            </w:r>
            <w:r>
              <w:rPr>
                <w:rFonts w:ascii="方正仿宋_GBK" w:eastAsia="方正仿宋_GBK" w:cs="方正仿宋_GBK" w:hint="eastAsia"/>
                <w:sz w:val="28"/>
                <w:szCs w:val="28"/>
                <w:lang w:val="en-US" w:eastAsia="zh-CN"/>
              </w:rPr>
              <w:t>及以上</w:t>
            </w:r>
            <w:r>
              <w:rPr>
                <w:rFonts w:ascii="方正仿宋_GBK" w:eastAsia="方正仿宋_GBK" w:cs="方正仿宋_GBK" w:hint="eastAsia"/>
                <w:sz w:val="28"/>
                <w:szCs w:val="28"/>
              </w:rPr>
              <w:t>机房</w:t>
            </w:r>
            <w:r>
              <w:rPr>
                <w:rFonts w:ascii="方正仿宋_GBK" w:eastAsia="方正仿宋_GBK" w:cs="方正仿宋_GBK" w:hint="eastAsia"/>
                <w:sz w:val="28"/>
                <w:szCs w:val="28"/>
                <w:lang w:val="en-US" w:eastAsia="zh-CN"/>
              </w:rPr>
              <w:t>综合布线</w:t>
            </w:r>
            <w:r>
              <w:rPr>
                <w:rFonts w:ascii="方正仿宋_GBK" w:eastAsia="方正仿宋_GBK" w:cs="方正仿宋_GBK" w:hint="eastAsia"/>
                <w:sz w:val="28"/>
                <w:szCs w:val="28"/>
              </w:rPr>
              <w:t>项目</w:t>
            </w:r>
            <w:r>
              <w:rPr>
                <w:rFonts w:ascii="方正仿宋_GBK" w:eastAsia="方正仿宋_GBK" w:cs="方正仿宋_GBK" w:hint="eastAsia"/>
                <w:sz w:val="28"/>
                <w:szCs w:val="28"/>
                <w:lang w:val="en-US" w:eastAsia="zh-CN"/>
              </w:rPr>
              <w:t>实施</w:t>
            </w:r>
            <w:r>
              <w:rPr>
                <w:rFonts w:ascii="方正仿宋_GBK" w:eastAsia="方正仿宋_GBK" w:cs="方正仿宋_GBK" w:hint="eastAsia"/>
                <w:sz w:val="28"/>
                <w:szCs w:val="28"/>
              </w:rPr>
              <w:t>经验</w:t>
            </w:r>
            <w:r>
              <w:rPr>
                <w:rFonts w:ascii="方正仿宋_GBK" w:eastAsia="方正仿宋_GBK" w:cs="方正仿宋_GBK" w:hint="eastAsia"/>
                <w:sz w:val="28"/>
                <w:szCs w:val="28"/>
                <w:lang w:val="en-US" w:eastAsia="zh-CN"/>
              </w:rPr>
              <w:t>(提供合同、履历佐证)</w:t>
            </w:r>
            <w:r>
              <w:rPr>
                <w:rFonts w:ascii="方正仿宋_GBK" w:eastAsia="方正仿宋_GBK" w:cs="方正仿宋_GBK" w:hint="eastAsia"/>
                <w:sz w:val="28"/>
                <w:szCs w:val="28"/>
              </w:rPr>
              <w:t>得 3 分；现场施工人员具备3 年及以上光纤熔接</w:t>
            </w:r>
            <w:r>
              <w:rPr>
                <w:rFonts w:ascii="方正仿宋_GBK" w:eastAsia="方正仿宋_GBK" w:cs="方正仿宋_GBK" w:hint="eastAsia"/>
                <w:sz w:val="28"/>
                <w:szCs w:val="28"/>
                <w:lang w:val="en-US" w:eastAsia="zh-CN"/>
              </w:rPr>
              <w:t>实操经验（提供履历佐证）</w:t>
            </w:r>
            <w:r>
              <w:rPr>
                <w:rFonts w:ascii="方正仿宋_GBK" w:eastAsia="方正仿宋_GBK" w:cs="方正仿宋_GBK" w:hint="eastAsia"/>
                <w:sz w:val="28"/>
                <w:szCs w:val="28"/>
              </w:rPr>
              <w:t>，得2分</w:t>
            </w:r>
            <w:r>
              <w:rPr>
                <w:rFonts w:ascii="方正仿宋_GBK" w:eastAsia="方正仿宋_GBK" w:cs="方正仿宋_GBK" w:hint="eastAsia"/>
                <w:sz w:val="28"/>
                <w:szCs w:val="28"/>
                <w:lang w:eastAsia="zh-CN"/>
              </w:rPr>
              <w:t>；</w:t>
            </w:r>
            <w:r>
              <w:rPr>
                <w:rFonts w:ascii="方正仿宋_GBK" w:eastAsia="方正仿宋_GBK" w:cs="方正仿宋_GBK" w:hint="eastAsia"/>
                <w:sz w:val="28"/>
                <w:szCs w:val="28"/>
                <w:lang w:val="en-US" w:eastAsia="zh-CN"/>
              </w:rPr>
              <w:t>未提供不计分</w:t>
            </w:r>
            <w:r>
              <w:rPr>
                <w:rFonts w:ascii="方正仿宋_GBK" w:eastAsia="方正仿宋_GBK" w:cs="方正仿宋_GBK" w:hint="eastAsia"/>
                <w:sz w:val="28"/>
                <w:szCs w:val="28"/>
              </w:rPr>
              <w:t>。</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4.服务保障方案（3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具备完善的现场施工组织保障、人员应急替补、材料供货保障方案，内容详实可行得 3 分；方案内容仅有简单描述得 1 分；未提供服务保障方案本项 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三、技术施工方案（40分）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1.总体施工组织方案（11分）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评审要点：结合本项目现状（机房至 1-5 楼线缆已敷设到位，不新增跨楼层布线），明确施工流程、分区作业计划、工期安排、错峰施工安排、废旧线缆清运安排</w:t>
            </w:r>
            <w:r>
              <w:rPr>
                <w:rFonts w:ascii="方正仿宋_GBK" w:eastAsia="方正仿宋_GBK" w:cs="方正仿宋_GBK" w:hint="eastAsia"/>
                <w:sz w:val="28"/>
                <w:szCs w:val="28"/>
                <w:lang w:eastAsia="zh-CN"/>
              </w:rPr>
              <w:t>、施工突发事件应急</w:t>
            </w:r>
            <w:r>
              <w:rPr>
                <w:rFonts w:ascii="方正仿宋_GBK" w:eastAsia="方正仿宋_GBK" w:cs="方正仿宋_GBK" w:hint="eastAsia"/>
                <w:sz w:val="28"/>
                <w:szCs w:val="28"/>
                <w:lang w:val="en-US" w:eastAsia="zh-CN"/>
              </w:rPr>
              <w:t>方案</w:t>
            </w:r>
            <w:r>
              <w:rPr>
                <w:rFonts w:ascii="方正仿宋_GBK" w:eastAsia="方正仿宋_GBK" w:cs="方正仿宋_GBK" w:hint="eastAsia"/>
                <w:sz w:val="28"/>
                <w:szCs w:val="28"/>
              </w:rPr>
              <w:t>。</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评分标准：</w:t>
            </w:r>
            <w:r>
              <w:rPr>
                <w:rFonts w:ascii="方正仿宋_GBK" w:eastAsia="方正仿宋_GBK" w:cs="方正仿宋_GBK" w:hint="eastAsia"/>
                <w:sz w:val="28"/>
                <w:szCs w:val="28"/>
                <w:lang w:val="en-US" w:eastAsia="zh-CN"/>
              </w:rPr>
              <w:t>上述方案齐全且</w:t>
            </w:r>
            <w:r>
              <w:rPr>
                <w:rFonts w:ascii="方正仿宋_GBK" w:eastAsia="方正仿宋_GBK" w:cs="方正仿宋_GBK" w:hint="eastAsia"/>
                <w:sz w:val="28"/>
                <w:szCs w:val="28"/>
              </w:rPr>
              <w:t>方案贴合</w:t>
            </w:r>
            <w:r>
              <w:rPr>
                <w:rFonts w:ascii="方正仿宋_GBK" w:eastAsia="方正仿宋_GBK" w:cs="方正仿宋_GBK" w:hint="eastAsia"/>
                <w:sz w:val="28"/>
                <w:szCs w:val="28"/>
                <w:lang w:val="en-US" w:eastAsia="zh-CN"/>
              </w:rPr>
              <w:t>本</w:t>
            </w:r>
            <w:r>
              <w:rPr>
                <w:rFonts w:ascii="方正仿宋_GBK" w:eastAsia="方正仿宋_GBK" w:cs="方正仿宋_GBK" w:hint="eastAsia"/>
                <w:sz w:val="28"/>
                <w:szCs w:val="28"/>
              </w:rPr>
              <w:t>项目实际，得11分；</w:t>
            </w:r>
            <w:r>
              <w:rPr>
                <w:rFonts w:ascii="方正仿宋_GBK" w:eastAsia="方正仿宋_GBK" w:cs="方正仿宋_GBK" w:hint="eastAsia"/>
                <w:sz w:val="28"/>
                <w:szCs w:val="28"/>
                <w:lang w:val="en-US" w:eastAsia="zh-CN"/>
              </w:rPr>
              <w:t>上述方案齐全</w:t>
            </w:r>
            <w:r>
              <w:rPr>
                <w:rFonts w:ascii="方正仿宋_GBK" w:eastAsia="方正仿宋_GBK" w:cs="方正仿宋_GBK" w:hint="eastAsia"/>
                <w:sz w:val="28"/>
                <w:szCs w:val="28"/>
              </w:rPr>
              <w:t>，但未结合本项目既有线缆</w:t>
            </w:r>
            <w:r>
              <w:rPr>
                <w:rFonts w:ascii="方正仿宋_GBK" w:eastAsia="方正仿宋_GBK" w:cs="方正仿宋_GBK" w:hint="eastAsia"/>
                <w:sz w:val="28"/>
                <w:szCs w:val="28"/>
                <w:lang w:val="en-US" w:eastAsia="zh-CN"/>
              </w:rPr>
              <w:t>现状</w:t>
            </w:r>
            <w:r>
              <w:rPr>
                <w:rFonts w:ascii="方正仿宋_GBK" w:eastAsia="方正仿宋_GBK" w:cs="方正仿宋_GBK" w:hint="eastAsia"/>
                <w:sz w:val="28"/>
                <w:szCs w:val="28"/>
              </w:rPr>
              <w:t>，得6分；方案简略</w:t>
            </w:r>
            <w:r>
              <w:rPr>
                <w:rFonts w:ascii="方正仿宋_GBK" w:eastAsia="方正仿宋_GBK" w:cs="方正仿宋_GBK" w:hint="eastAsia"/>
                <w:sz w:val="28"/>
                <w:szCs w:val="28"/>
                <w:lang w:val="en-US" w:eastAsia="zh-CN"/>
              </w:rPr>
              <w:t>或缺少1项</w:t>
            </w:r>
            <w:r>
              <w:rPr>
                <w:rFonts w:ascii="方正仿宋_GBK" w:eastAsia="方正仿宋_GBK" w:cs="方正仿宋_GBK" w:hint="eastAsia"/>
                <w:sz w:val="28"/>
                <w:szCs w:val="28"/>
              </w:rPr>
              <w:t>，得</w:t>
            </w:r>
            <w:r>
              <w:rPr>
                <w:rFonts w:ascii="方正仿宋_GBK" w:eastAsia="方正仿宋_GBK" w:cs="方正仿宋_GBK" w:hint="eastAsia"/>
                <w:sz w:val="28"/>
                <w:szCs w:val="28"/>
                <w:lang w:val="en-US" w:eastAsia="zh-CN"/>
              </w:rPr>
              <w:t>3</w:t>
            </w:r>
            <w:r>
              <w:rPr>
                <w:rFonts w:ascii="方正仿宋_GBK" w:eastAsia="方正仿宋_GBK" w:cs="方正仿宋_GBK" w:hint="eastAsia"/>
                <w:sz w:val="28"/>
                <w:szCs w:val="28"/>
              </w:rPr>
              <w:t>分；未提供方案，0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2. 线缆整治与标签实施方案（14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评审要点：包含跳线更换、跨机柜线缆更换处置方案、线缆规整绑扎方案、机房端与楼层点位两端标签标准化实施方案，同时响应线缆各项技术参数要求。</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评分标准：完整覆盖线缆更换判定标准、跨机柜线缆处置、线缆规整、两端标签规范，技术参数全面响应需求，得 14 分；具备基础方案</w:t>
            </w:r>
            <w:r>
              <w:rPr>
                <w:rFonts w:ascii="方正仿宋_GBK" w:eastAsia="方正仿宋_GBK" w:cs="方正仿宋_GBK" w:hint="eastAsia"/>
                <w:sz w:val="28"/>
                <w:szCs w:val="28"/>
                <w:lang w:val="en-US" w:eastAsia="zh-CN"/>
              </w:rPr>
              <w:t>或</w:t>
            </w:r>
            <w:r>
              <w:rPr>
                <w:rFonts w:ascii="方正仿宋_GBK" w:eastAsia="方正仿宋_GBK" w:cs="方正仿宋_GBK" w:hint="eastAsia"/>
                <w:sz w:val="28"/>
                <w:szCs w:val="28"/>
              </w:rPr>
              <w:t>缺少</w:t>
            </w:r>
            <w:r>
              <w:rPr>
                <w:rFonts w:ascii="方正仿宋_GBK" w:eastAsia="方正仿宋_GBK" w:cs="方正仿宋_GBK" w:hint="eastAsia"/>
                <w:sz w:val="28"/>
                <w:szCs w:val="28"/>
                <w:lang w:val="en-US" w:eastAsia="zh-CN"/>
              </w:rPr>
              <w:t>1项方案</w:t>
            </w:r>
            <w:r>
              <w:rPr>
                <w:rFonts w:ascii="方正仿宋_GBK" w:eastAsia="方正仿宋_GBK" w:cs="方正仿宋_GBK" w:hint="eastAsia"/>
                <w:sz w:val="28"/>
                <w:szCs w:val="28"/>
              </w:rPr>
              <w:t>，得 7 分；仅有简单描述</w:t>
            </w:r>
            <w:r>
              <w:rPr>
                <w:rFonts w:ascii="方正仿宋_GBK" w:eastAsia="方正仿宋_GBK" w:cs="方正仿宋_GBK" w:hint="eastAsia"/>
                <w:sz w:val="28"/>
                <w:szCs w:val="28"/>
                <w:lang w:val="en-US" w:eastAsia="zh-CN"/>
              </w:rPr>
              <w:t>或</w:t>
            </w:r>
            <w:r>
              <w:rPr>
                <w:rFonts w:ascii="方正仿宋_GBK" w:eastAsia="方正仿宋_GBK" w:cs="方正仿宋_GBK" w:hint="eastAsia"/>
                <w:sz w:val="28"/>
                <w:szCs w:val="28"/>
              </w:rPr>
              <w:t>缺</w:t>
            </w:r>
            <w:r>
              <w:rPr>
                <w:rFonts w:ascii="方正仿宋_GBK" w:eastAsia="方正仿宋_GBK" w:cs="方正仿宋_GBK" w:hint="eastAsia"/>
                <w:sz w:val="28"/>
                <w:szCs w:val="28"/>
                <w:lang w:val="en-US" w:eastAsia="zh-CN"/>
              </w:rPr>
              <w:t>少2项方案</w:t>
            </w:r>
            <w:r>
              <w:rPr>
                <w:rFonts w:ascii="方正仿宋_GBK" w:eastAsia="方正仿宋_GBK" w:cs="方正仿宋_GBK" w:hint="eastAsia"/>
                <w:sz w:val="28"/>
                <w:szCs w:val="28"/>
              </w:rPr>
              <w:t>，得 3 分；线缆技术指标不满足标准，本</w:t>
            </w:r>
            <w:r>
              <w:rPr>
                <w:rFonts w:ascii="方正仿宋_GBK" w:eastAsia="方正仿宋_GBK" w:cs="方正仿宋_GBK" w:hint="eastAsia"/>
                <w:sz w:val="28"/>
                <w:szCs w:val="28"/>
                <w:lang w:val="en-US" w:eastAsia="zh-CN"/>
              </w:rPr>
              <w:t>项方案</w:t>
            </w:r>
            <w:r>
              <w:rPr>
                <w:rFonts w:ascii="方正仿宋_GBK" w:eastAsia="方正仿宋_GBK" w:cs="方正仿宋_GBK" w:hint="eastAsia"/>
                <w:sz w:val="28"/>
                <w:szCs w:val="28"/>
                <w:lang w:eastAsia="zh-CN"/>
              </w:rPr>
              <w:t>（</w:t>
            </w:r>
            <w:r>
              <w:rPr>
                <w:rFonts w:ascii="方正仿宋_GBK" w:eastAsia="方正仿宋_GBK" w:cs="方正仿宋_GBK" w:hint="eastAsia"/>
                <w:sz w:val="28"/>
                <w:szCs w:val="28"/>
              </w:rPr>
              <w:t>线缆整治与标签实施</w:t>
            </w:r>
            <w:r>
              <w:rPr>
                <w:rFonts w:ascii="方正仿宋_GBK" w:eastAsia="方正仿宋_GBK" w:cs="方正仿宋_GBK" w:hint="eastAsia"/>
                <w:sz w:val="28"/>
                <w:szCs w:val="28"/>
                <w:lang w:eastAsia="zh-CN"/>
              </w:rPr>
              <w:t>）</w:t>
            </w:r>
            <w:r>
              <w:rPr>
                <w:rFonts w:ascii="方正仿宋_GBK" w:eastAsia="方正仿宋_GBK" w:cs="方正仿宋_GBK" w:hint="eastAsia"/>
                <w:sz w:val="28"/>
                <w:szCs w:val="28"/>
                <w:lang w:val="en-US" w:eastAsia="zh-CN"/>
              </w:rPr>
              <w:t>总体得1</w:t>
            </w:r>
            <w:r>
              <w:rPr>
                <w:rFonts w:ascii="方正仿宋_GBK" w:eastAsia="方正仿宋_GBK" w:cs="方正仿宋_GBK" w:hint="eastAsia"/>
                <w:sz w:val="28"/>
                <w:szCs w:val="28"/>
              </w:rPr>
              <w:t>分</w:t>
            </w:r>
            <w:r>
              <w:rPr>
                <w:rFonts w:ascii="方正仿宋_GBK" w:eastAsia="方正仿宋_GBK" w:cs="方正仿宋_GBK" w:hint="eastAsia"/>
                <w:sz w:val="28"/>
                <w:szCs w:val="28"/>
                <w:lang w:eastAsia="zh-CN"/>
              </w:rPr>
              <w:t>；</w:t>
            </w:r>
            <w:r>
              <w:rPr>
                <w:rFonts w:ascii="方正仿宋_GBK" w:eastAsia="方正仿宋_GBK" w:cs="方正仿宋_GBK" w:hint="eastAsia"/>
                <w:sz w:val="28"/>
                <w:szCs w:val="28"/>
                <w:lang w:val="en-US" w:eastAsia="zh-CN"/>
              </w:rPr>
              <w:t>未提供方案，0分</w:t>
            </w:r>
            <w:r>
              <w:rPr>
                <w:rFonts w:ascii="方正仿宋_GBK" w:eastAsia="方正仿宋_GBK" w:cs="方正仿宋_GBK" w:hint="eastAsia"/>
                <w:sz w:val="28"/>
                <w:szCs w:val="28"/>
              </w:rPr>
              <w:t>。</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3. 走线架布设工艺方案（8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评审要点：地板下走线架悬空敷设、机柜进线处理、网线光纤分区布放、强弱电隔离等施工工艺要求。</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评分标准：完整涵盖悬空架设、线缆分区隔离等全部工艺要求，描述详实可行，得 8 分；</w:t>
            </w:r>
            <w:r>
              <w:rPr>
                <w:rFonts w:ascii="方正仿宋_GBK" w:eastAsia="方正仿宋_GBK" w:cs="方正仿宋_GBK" w:hint="eastAsia"/>
                <w:sz w:val="28"/>
                <w:szCs w:val="28"/>
                <w:lang w:val="en-US" w:eastAsia="zh-CN"/>
              </w:rPr>
              <w:t>方案简单或</w:t>
            </w:r>
            <w:r>
              <w:rPr>
                <w:rFonts w:ascii="方正仿宋_GBK" w:eastAsia="方正仿宋_GBK" w:cs="方正仿宋_GBK" w:hint="eastAsia"/>
                <w:sz w:val="28"/>
                <w:szCs w:val="28"/>
              </w:rPr>
              <w:t>缺少1项要求，得 4 分；方案笼统，未体现悬空敷设、线缆物理分隔要求，得 1 分；未提供方案，0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4. 施工现场安全与成品保护方案（7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评审要点：在用设备防护、防静电措施、机房施工安全管控、废料管理、设施损坏赔付承诺。</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评分标准：设备防护、防静电、安全管控、废料清运、损坏赔付承诺全部齐全，措施具体可行，得 7 分；大部分措施具备，缺少一项内容，得 4 分；方案宽泛无针对性，得 1 分；未提供方案或缺少损坏赔付承诺，0 分。</w:t>
            </w:r>
          </w:p>
          <w:p>
            <w:pPr>
              <w:spacing w:line="560" w:lineRule="exact"/>
              <w:jc w:val="left"/>
              <w:rPr>
                <w:rFonts w:ascii="方正仿宋_GBK" w:eastAsia="方正仿宋_GBK" w:cs="方正仿宋_GBK" w:hint="eastAsia"/>
                <w:sz w:val="28"/>
                <w:szCs w:val="28"/>
              </w:rPr>
            </w:pPr>
            <w:r>
              <w:rPr>
                <w:rFonts w:ascii="方正仿宋_GBK" w:eastAsia="方正仿宋_GBK" w:cs="方正仿宋_GBK" w:hint="eastAsia"/>
                <w:sz w:val="28"/>
                <w:szCs w:val="28"/>
              </w:rPr>
              <w:t>四、售后服务与质保（5分）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承诺整体工程质保 2 年及以上得 5 分；承诺质保 1 年得 2 分；质保期限低于 1 年不得分</w:t>
            </w:r>
            <w:r>
              <w:rPr>
                <w:rFonts w:ascii="方正仿宋_GBK" w:eastAsia="方正仿宋_GBK" w:cs="方正仿宋_GBK" w:hint="eastAsia"/>
                <w:sz w:val="28"/>
                <w:szCs w:val="28"/>
                <w:lang w:eastAsia="zh-CN"/>
              </w:rPr>
              <w:t>；</w:t>
            </w:r>
            <w:r>
              <w:rPr>
                <w:rFonts w:ascii="方正仿宋_GBK" w:eastAsia="方正仿宋_GBK" w:cs="方正仿宋_GBK" w:hint="eastAsia"/>
                <w:sz w:val="28"/>
                <w:szCs w:val="28"/>
                <w:lang w:val="en-US" w:eastAsia="zh-CN"/>
              </w:rPr>
              <w:t>质保期自项目竣工验收合格之日起计算</w:t>
            </w:r>
            <w:r>
              <w:rPr>
                <w:rFonts w:ascii="方正仿宋_GBK" w:eastAsia="方正仿宋_GBK" w:cs="方正仿宋_GBK" w:hint="eastAsia"/>
                <w:sz w:val="28"/>
                <w:szCs w:val="28"/>
              </w:rPr>
              <w:t>。</w:t>
            </w:r>
          </w:p>
        </w:tc>
      </w:tr>
      <w:tr>
        <w:trPr>
          <w:trHeight w:val="2545"/>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其他因素</w:t>
            </w:r>
          </w:p>
        </w:tc>
        <w:tc>
          <w:tcPr>
            <w:tcW w:w="6862" w:type="dxa"/>
          </w:tcPr>
          <w:p>
            <w:pPr>
              <w:spacing w:line="400" w:lineRule="exact"/>
              <w:jc w:val="left"/>
              <w:rPr>
                <w:rFonts w:ascii="方正仿宋_GBK" w:eastAsia="方正仿宋_GBK" w:cs="方正仿宋_GBK"/>
                <w:sz w:val="28"/>
                <w:szCs w:val="28"/>
                <w:lang w:val="en-US" w:eastAsia="zh-CN"/>
              </w:rPr>
            </w:pPr>
            <w:r>
              <w:rPr>
                <w:rFonts w:ascii="方正仿宋_GBK" w:eastAsia="方正仿宋_GBK" w:cs="方正仿宋_GBK" w:hint="eastAsia"/>
                <w:sz w:val="28"/>
                <w:szCs w:val="28"/>
                <w:lang w:val="en-US" w:eastAsia="zh-CN"/>
              </w:rPr>
              <w:t>1.投标人应当对提供的材料的真实性负责，如有虚假甲方有权解除合同，并追究其法律责任。</w:t>
            </w:r>
          </w:p>
        </w:tc>
      </w:tr>
    </w:tbl>
    <w:p>
      <w:pPr>
        <w:rPr>
          <w:rFonts w:ascii="方正仿宋_GBK" w:eastAsia="方正仿宋_GBK" w:cs="方正仿宋_GBK"/>
          <w:sz w:val="32"/>
          <w:szCs w:val="32"/>
        </w:rPr>
      </w:pPr>
    </w:p>
    <w:p>
      <w:pPr>
        <w:spacing w:line="560" w:lineRule="exact"/>
        <w:jc w:val="right"/>
        <w:rPr>
          <w:rFonts w:ascii="方正仿宋_GBK" w:eastAsia="方正仿宋_GBK" w:cs="方正仿宋_GBK"/>
          <w:sz w:val="32"/>
          <w:szCs w:val="32"/>
        </w:rPr>
      </w:pPr>
    </w:p>
    <w:sectPr>
      <w:footerReference w:type="default" r:id="rId2"/>
      <w:footerReference w:type="even" r:id="rId3"/>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altName w:val="微软雅黑"/>
    <w:panose1 w:val="00000000000000000000"/>
    <w:charset w:val="86"/>
    <w:family w:val="script"/>
    <w:pitch w:val="variable"/>
    <w:sig w:usb0="00000000" w:usb1="00000000" w:usb2="00082016" w:usb3="00000000" w:csb0="00040001" w:csb1="00000000"/>
  </w:font>
  <w:font w:name="方正小标宋_GBK">
    <w:altName w:val="微软雅黑"/>
    <w:panose1 w:val="00000000000000000000"/>
    <w:charset w:val="86"/>
    <w:family w:val="script"/>
    <w:pitch w:val="variable"/>
    <w:sig w:usb0="00000000" w:usb1="00000000" w:usb2="00082016" w:usb3="00000000" w:csb0="00040001" w:csb1="00000000"/>
  </w:font>
  <w:font w:name="方正楷体_GBK">
    <w:altName w:val="微软雅黑"/>
    <w:panose1 w:val="00000000000000000000"/>
    <w:charset w:val="86"/>
    <w:family w:val="script"/>
    <w:pitch w:val="variable"/>
    <w:sig w:usb0="00000000" w:usb1="00000000" w:usb2="00000000" w:usb3="00000000" w:csb0="00040000" w:csb1="00000000"/>
  </w:font>
  <w:font w:name="方正仿宋_GBK">
    <w:altName w:val="微软雅黑"/>
    <w:panose1 w:val="00000000000000000000"/>
    <w:charset w:val="86"/>
    <w:family w:val="script"/>
    <w:pitch w:val="variable"/>
    <w:sig w:usb0="00000000" w:usb1="00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variable"/>
    <w:sig w:usb0="00000203" w:usb1="288F0000" w:usb2="00000006" w:usb3="00000000" w:csb0="00040001" w:csb1="00000000"/>
  </w:font>
  <w:font w:name="Calibri">
    <w:panose1 w:val="020F0502020204030204"/>
    <w:charset w:val="00"/>
    <w:family w:val="swiss"/>
    <w:pitch w:val="variable"/>
    <w:sig w:usb0="E4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tabs>
        <w:tab w:val="center" w:pos="4153"/>
        <w:tab w:val="right" w:pos="8306"/>
      </w:tabs>
    </w:pPr>
    <w:r>
      <w:rPr>
        <w:rStyle w:val="19"/>
      </w:rPr>
      <w:fldChar w:fldCharType="begin"/>
    </w:r>
    <w:r>
      <w:rPr>
        <w:rStyle w:val="19"/>
      </w:rPr>
      <w:instrText>Page</w:instrText>
    </w:r>
    <w:r>
      <w:rPr>
        <w:rStyle w:val="19"/>
      </w:rPr>
      <w:fldChar w:fldCharType="separate"/>
    </w:r>
    <w:r>
      <w:rPr>
        <w:rStyle w:val="19"/>
      </w:rPr>
      <w:t>1</w:t>
    </w:r>
    <w:r>
      <w:rPr>
        <w:rStyle w:val="19"/>
      </w:rPr>
      <w:fldChar w:fldCharType="end"/>
    </w:r>
  </w:p>
  <w:p>
    <w:pPr>
      <w:pStyle w:val="16"/>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tabs>
        <w:tab w:val="center" w:pos="4153"/>
        <w:tab w:val="right" w:pos="8306"/>
      </w:tabs>
    </w:pPr>
    <w:r>
      <w:rPr>
        <w:rStyle w:val="19"/>
      </w:rPr>
      <w:fldChar w:fldCharType="begin"/>
    </w:r>
    <w:r>
      <w:rPr>
        <w:rStyle w:val="19"/>
      </w:rPr>
      <w:instrText>Page</w:instrText>
    </w:r>
    <w:r>
      <w:rPr>
        <w:rStyle w:val="19"/>
      </w:rPr>
      <w:fldChar w:fldCharType="separate"/>
    </w:r>
    <w:r>
      <w:rPr>
        <w:rStyle w:val="19"/>
      </w:rPr>
      <w:t>1</w:t>
    </w:r>
    <w:r>
      <w:rPr>
        <w:rStyle w:val="19"/>
      </w:rPr>
      <w:fldChar w:fldCharType="end"/>
    </w:r>
  </w:p>
  <w:p>
    <w:pPr>
      <w:pStyle w:val="16"/>
      <w:tabs>
        <w:tab w:val="center" w:pos="4153"/>
        <w:tab w:val="right" w:pos="8306"/>
      </w:tabs>
      <w:ind w:right="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val="0"/>
  <w:bordersDoNotSurroundFooter w:val="0"/>
  <w:trackRevisions/>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WRlNmFjNTE0YmQzNDgwNGMxODI4OWJlYzRjMWE3MT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annotation text"/>
    <w:basedOn w:val="0"/>
    <w:pPr>
      <w:jc w:val="left"/>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index heading"/>
    <w:basedOn w:val="0"/>
    <w:rPr>
      <w:rFonts w:ascii="Arial" w:hAnsi="Arial"/>
      <w:b/>
    </w:rPr>
  </w:style>
  <w:style w:type="character" w:styleId="19">
    <w:name w:val="page number"/>
    <w:basedOn w:val="10"/>
  </w:style>
  <w:style w:type="paragraph" w:customStyle="1" w:styleId="20">
    <w:name w:val="样式 10 磅"/>
    <w:pPr>
      <w:widowControl w:val="0"/>
      <w:spacing w:line="240" w:lineRule="auto"/>
      <w:jc w:val="both"/>
    </w:pPr>
    <w:rPr>
      <w:rFonts w:ascii="Times New Roman" w:eastAsia="宋体" w:cs="Times New Roman" w:hAnsi="Times New Roman"/>
      <w:kern w:val="2"/>
      <w:sz w:val="21"/>
      <w:szCs w:val="21"/>
      <w:lang w:val="en-US" w:eastAsia="zh-CN" w:bidi="ar-SA"/>
    </w:rPr>
  </w:style>
  <w:style w:type="paragraph" w:customStyle="1" w:styleId="21">
    <w:name w:val="样式 1 10 磅"/>
    <w:pPr>
      <w:widowControl w:val="0"/>
      <w:jc w:val="both"/>
    </w:pPr>
    <w:rPr>
      <w:rFonts w:ascii="Calibri" w:eastAsia="宋体" w:cs="Arial" w:hAnsi="Calibri"/>
      <w:kern w:val="2"/>
      <w:sz w:val="21"/>
      <w:szCs w:val="24"/>
      <w:lang w:val="en-US" w:eastAsia="zh-CN" w:bidi="ar-SA"/>
    </w:rPr>
  </w:style>
  <w:style w:type="paragraph" w:customStyle="1" w:styleId="22">
    <w:name w:val="样式 2 10 磅"/>
    <w:pPr>
      <w:widowControl w:val="0"/>
      <w:jc w:val="both"/>
    </w:pPr>
    <w:rPr>
      <w:rFonts w:ascii="Calibri" w:eastAsia="宋体" w:cs="Arial" w:hAnsi="Calibri"/>
      <w:kern w:val="2"/>
      <w:sz w:val="21"/>
      <w:szCs w:val="24"/>
      <w:lang w:val="en-US" w:eastAsia="zh-CN" w:bidi="ar-SA"/>
    </w:rPr>
  </w:style>
  <w:style w:type="paragraph" w:customStyle="1" w:styleId="23">
    <w:name w:val="样式 3 10 磅"/>
    <w:pPr>
      <w:widowControl w:val="0"/>
      <w:jc w:val="both"/>
    </w:pPr>
    <w:rPr>
      <w:rFonts w:ascii="Calibri" w:eastAsia="宋体" w:cs="Arial" w:hAnsi="Calibri"/>
      <w:kern w:val="2"/>
      <w:sz w:val="21"/>
      <w:szCs w:val="24"/>
      <w:lang w:val="en-US" w:eastAsia="zh-CN" w:bidi="ar-SA"/>
    </w:rPr>
  </w:style>
  <w:style w:type="paragraph" w:customStyle="1" w:styleId="24">
    <w:name w:val="样式 4 10 磅"/>
    <w:pPr>
      <w:widowControl w:val="0"/>
      <w:jc w:val="both"/>
    </w:pPr>
    <w:rPr>
      <w:rFonts w:ascii="Calibri" w:eastAsia="宋体" w:cs="Arial" w:hAnsi="Calibri"/>
      <w:kern w:val="2"/>
      <w:sz w:val="21"/>
      <w:szCs w:val="24"/>
      <w:lang w:val="en-US" w:eastAsia="zh-CN" w:bidi="ar-SA"/>
    </w:rPr>
  </w:style>
  <w:style w:type="paragraph" w:customStyle="1" w:styleId="25">
    <w:name w:val="样式 5 10 磅"/>
    <w:pPr>
      <w:widowControl w:val="0"/>
      <w:jc w:val="both"/>
    </w:pPr>
    <w:rPr>
      <w:rFonts w:ascii="Calibri" w:eastAsia="宋体" w:cs="Arial" w:hAnsi="Calibri"/>
      <w:kern w:val="2"/>
      <w:sz w:val="21"/>
      <w:szCs w:val="24"/>
      <w:lang w:val="en-US" w:eastAsia="zh-CN" w:bidi="ar-SA"/>
    </w:rPr>
  </w:style>
  <w:style w:type="paragraph" w:customStyle="1" w:styleId="26">
    <w:name w:val="样式 6 10 磅"/>
    <w:pPr>
      <w:widowControl w:val="0"/>
      <w:jc w:val="both"/>
    </w:pPr>
    <w:rPr>
      <w:rFonts w:ascii="Calibri" w:eastAsia="宋体" w:cs="Arial" w:hAnsi="Calibri"/>
      <w:kern w:val="2"/>
      <w:sz w:val="21"/>
      <w:szCs w:val="24"/>
      <w:lang w:val="en-US" w:eastAsia="zh-CN" w:bidi="ar-SA"/>
    </w:rPr>
  </w:style>
  <w:style w:type="paragraph" w:customStyle="1" w:styleId="27">
    <w:name w:val="样式 7 10 磅"/>
    <w:pPr>
      <w:widowControl w:val="0"/>
      <w:jc w:val="both"/>
    </w:pPr>
    <w:rPr>
      <w:rFonts w:ascii="Calibri" w:eastAsia="宋体" w:cs="Arial" w:hAnsi="Calibri"/>
      <w:kern w:val="2"/>
      <w:sz w:val="21"/>
      <w:szCs w:val="24"/>
      <w:lang w:val="en-US" w:eastAsia="zh-CN" w:bidi="ar-SA"/>
    </w:rPr>
  </w:style>
  <w:style w:type="paragraph" w:customStyle="1" w:styleId="28">
    <w:name w:val="样式 8 10 磅"/>
    <w:pPr>
      <w:widowControl w:val="0"/>
      <w:jc w:val="both"/>
    </w:pPr>
    <w:rPr>
      <w:rFonts w:ascii="Calibri" w:eastAsia="宋体" w:cs="Arial" w:hAnsi="Calibri"/>
      <w:kern w:val="2"/>
      <w:sz w:val="21"/>
      <w:szCs w:val="24"/>
      <w:lang w:val="en-US" w:eastAsia="zh-CN" w:bidi="ar-SA"/>
    </w:rPr>
  </w:style>
  <w:style w:type="paragraph" w:customStyle="1" w:styleId="29">
    <w:name w:val="样式 9 10 磅"/>
    <w:pPr>
      <w:widowControl w:val="0"/>
      <w:jc w:val="both"/>
    </w:pPr>
    <w:rPr>
      <w:rFonts w:ascii="Calibri" w:eastAsia="宋体" w:cs="Arial" w:hAnsi="Calibri"/>
      <w:kern w:val="2"/>
      <w:sz w:val="21"/>
      <w:szCs w:val="24"/>
      <w:lang w:val="en-US" w:eastAsia="zh-CN" w:bidi="ar-SA"/>
    </w:rPr>
  </w:style>
  <w:style w:type="paragraph" w:customStyle="1" w:styleId="30">
    <w:name w:val="样式 10 10 磅"/>
    <w:pPr>
      <w:widowControl w:val="0"/>
      <w:jc w:val="both"/>
    </w:pPr>
    <w:rPr>
      <w:rFonts w:ascii="Calibri" w:eastAsia="宋体" w:cs="Arial" w:hAnsi="Calibri"/>
      <w:kern w:val="2"/>
      <w:sz w:val="21"/>
      <w:szCs w:val="24"/>
      <w:lang w:val="en-US" w:eastAsia="zh-CN" w:bidi="ar-SA"/>
    </w:rPr>
  </w:style>
  <w:style w:type="paragraph" w:customStyle="1" w:styleId="31">
    <w:name w:val="样式 11 10 磅"/>
    <w:pPr>
      <w:widowControl w:val="0"/>
      <w:jc w:val="both"/>
    </w:pPr>
    <w:rPr>
      <w:rFonts w:ascii="Calibri" w:eastAsia="宋体" w:cs="Arial" w:hAnsi="Calibri"/>
      <w:kern w:val="2"/>
      <w:sz w:val="21"/>
      <w:szCs w:val="24"/>
      <w:lang w:val="en-US" w:eastAsia="zh-CN" w:bidi="ar-SA"/>
    </w:rPr>
  </w:style>
  <w:style w:type="paragraph" w:customStyle="1" w:styleId="32">
    <w:name w:val="样式 12 10 磅"/>
    <w:pPr>
      <w:widowControl w:val="0"/>
      <w:jc w:val="both"/>
    </w:pPr>
    <w:rPr>
      <w:rFonts w:ascii="Calibri" w:eastAsia="宋体" w:cs="Arial" w:hAnsi="Calibri"/>
      <w:kern w:val="2"/>
      <w:sz w:val="21"/>
      <w:szCs w:val="24"/>
      <w:lang w:val="en-US" w:eastAsia="zh-CN" w:bidi="ar-SA"/>
    </w:rPr>
  </w:style>
  <w:style w:type="paragraph" w:customStyle="1" w:styleId="33">
    <w:name w:val="样式 13 10 磅"/>
    <w:pPr>
      <w:widowControl w:val="0"/>
      <w:jc w:val="both"/>
    </w:pPr>
    <w:rPr>
      <w:rFonts w:ascii="Calibri" w:eastAsia="宋体" w:cs="Arial" w:hAnsi="Calibri"/>
      <w:kern w:val="2"/>
      <w:sz w:val="21"/>
      <w:szCs w:val="24"/>
      <w:lang w:val="en-US" w:eastAsia="zh-CN" w:bidi="ar-SA"/>
    </w:rPr>
  </w:style>
  <w:style w:type="paragraph" w:customStyle="1" w:styleId="34">
    <w:name w:val="样式 14 10 磅"/>
    <w:pPr>
      <w:widowControl w:val="0"/>
      <w:jc w:val="both"/>
    </w:pPr>
    <w:rPr>
      <w:rFonts w:ascii="Calibri" w:eastAsia="宋体" w:cs="Arial" w:hAnsi="Calibri"/>
      <w:kern w:val="2"/>
      <w:sz w:val="21"/>
      <w:szCs w:val="24"/>
      <w:lang w:val="en-US" w:eastAsia="zh-CN" w:bidi="ar-SA"/>
    </w:rPr>
  </w:style>
  <w:style w:type="paragraph" w:customStyle="1" w:styleId="35">
    <w:name w:val="样式 15 10 磅"/>
    <w:pPr>
      <w:widowControl w:val="0"/>
      <w:jc w:val="both"/>
    </w:pPr>
    <w:rPr>
      <w:rFonts w:ascii="Calibri" w:eastAsia="宋体" w:cs="Arial" w:hAnsi="Calibri"/>
      <w:kern w:val="2"/>
      <w:sz w:val="21"/>
      <w:szCs w:val="24"/>
      <w:lang w:val="en-US" w:eastAsia="zh-CN" w:bidi="ar-SA"/>
    </w:rPr>
  </w:style>
  <w:style w:type="paragraph" w:customStyle="1" w:styleId="36">
    <w:name w:val="样式 16 10 磅"/>
    <w:pPr>
      <w:widowControl w:val="0"/>
      <w:jc w:val="both"/>
    </w:pPr>
    <w:rPr>
      <w:rFonts w:ascii="Calibri" w:eastAsia="宋体" w:cs="Arial" w:hAnsi="Calibri"/>
      <w:kern w:val="2"/>
      <w:sz w:val="21"/>
      <w:szCs w:val="24"/>
      <w:lang w:val="en-US" w:eastAsia="zh-CN" w:bidi="ar-SA"/>
    </w:rPr>
  </w:style>
  <w:style w:type="paragraph" w:customStyle="1" w:styleId="37">
    <w:name w:val="样式 17 10 磅"/>
    <w:pPr>
      <w:widowControl w:val="0"/>
      <w:jc w:val="both"/>
    </w:pPr>
    <w:rPr>
      <w:rFonts w:ascii="Calibri" w:eastAsia="宋体" w:cs="Arial" w:hAnsi="Calibri"/>
      <w:kern w:val="2"/>
      <w:sz w:val="21"/>
      <w:szCs w:val="24"/>
      <w:lang w:val="en-US" w:eastAsia="zh-CN" w:bidi="ar-SA"/>
    </w:rPr>
  </w:style>
  <w:style w:type="paragraph" w:customStyle="1" w:styleId="38">
    <w:name w:val="样式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39">
    <w:name w:val="样式 1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0">
    <w:name w:val="样式 18 10 磅"/>
    <w:pPr>
      <w:widowControl w:val="0"/>
      <w:jc w:val="both"/>
    </w:pPr>
    <w:rPr>
      <w:rFonts w:ascii="Calibri" w:eastAsia="宋体" w:cs="Arial" w:hAnsi="Calibri"/>
      <w:kern w:val="2"/>
      <w:sz w:val="21"/>
      <w:szCs w:val="24"/>
      <w:lang w:val="en-US" w:eastAsia="zh-CN" w:bidi="ar-SA"/>
    </w:rPr>
  </w:style>
  <w:style w:type="paragraph" w:customStyle="1" w:styleId="41">
    <w:name w:val="样式 19 10 磅"/>
    <w:pPr>
      <w:widowControl w:val="0"/>
      <w:jc w:val="both"/>
    </w:pPr>
    <w:rPr>
      <w:rFonts w:ascii="Calibri" w:eastAsia="宋体" w:cs="Arial" w:hAnsi="Calibri"/>
      <w:kern w:val="2"/>
      <w:sz w:val="21"/>
      <w:szCs w:val="24"/>
      <w:lang w:val="en-US" w:eastAsia="zh-CN" w:bidi="ar-SA"/>
    </w:rPr>
  </w:style>
  <w:style w:type="paragraph" w:customStyle="1" w:styleId="42">
    <w:name w:val="样式 20 10 磅"/>
    <w:pPr>
      <w:widowControl w:val="0"/>
      <w:jc w:val="both"/>
    </w:pPr>
    <w:rPr>
      <w:rFonts w:ascii="Calibri" w:eastAsia="宋体" w:cs="Arial" w:hAnsi="Calibri"/>
      <w:kern w:val="2"/>
      <w:sz w:val="21"/>
      <w:szCs w:val="24"/>
      <w:lang w:val="en-US" w:eastAsia="zh-CN" w:bidi="ar-SA"/>
    </w:rPr>
  </w:style>
  <w:style w:type="paragraph" w:customStyle="1" w:styleId="43">
    <w:name w:val="样式 21 10 磅"/>
    <w:pPr>
      <w:widowControl w:val="0"/>
      <w:jc w:val="both"/>
    </w:pPr>
    <w:rPr>
      <w:rFonts w:ascii="Calibri" w:eastAsia="宋体" w:cs="Arial" w:hAnsi="Calibri"/>
      <w:kern w:val="2"/>
      <w:sz w:val="21"/>
      <w:szCs w:val="24"/>
      <w:lang w:val="en-US" w:eastAsia="zh-CN" w:bidi="ar-SA"/>
    </w:rPr>
  </w:style>
  <w:style w:type="paragraph" w:customStyle="1" w:styleId="44">
    <w:name w:val="样式 22 10 磅"/>
    <w:pPr>
      <w:widowControl w:val="0"/>
      <w:jc w:val="both"/>
    </w:pPr>
    <w:rPr>
      <w:rFonts w:ascii="Calibri" w:eastAsia="宋体" w:cs="Arial" w:hAnsi="Calibri"/>
      <w:kern w:val="2"/>
      <w:sz w:val="21"/>
      <w:szCs w:val="24"/>
      <w:lang w:val="en-US" w:eastAsia="zh-CN" w:bidi="ar-SA"/>
    </w:rPr>
  </w:style>
  <w:style w:type="paragraph" w:customStyle="1" w:styleId="45">
    <w:name w:val="样式 小四"/>
    <w:pPr>
      <w:widowControl w:val="0"/>
    </w:pPr>
    <w:rPr>
      <w:rFonts w:ascii="宋体" w:eastAsia="宋体" w:cs="Times New Roman"/>
      <w:kern w:val="2"/>
      <w:sz w:val="24"/>
      <w:szCs w:val="21"/>
      <w:lang w:val="en-US" w:eastAsia="zh-CN" w:bidi="ar-SA"/>
    </w:rPr>
  </w:style>
  <w:style w:type="paragraph" w:customStyle="1" w:styleId="46">
    <w:name w:val="样式 23 10 磅"/>
    <w:pPr>
      <w:widowControl w:val="0"/>
      <w:jc w:val="both"/>
    </w:pPr>
    <w:rPr>
      <w:rFonts w:ascii="Calibri" w:eastAsia="宋体" w:cs="Arial" w:hAnsi="Calibri"/>
      <w:kern w:val="2"/>
      <w:sz w:val="21"/>
      <w:szCs w:val="24"/>
      <w:lang w:val="en-US" w:eastAsia="zh-CN" w:bidi="ar-SA"/>
    </w:rPr>
  </w:style>
  <w:style w:type="paragraph" w:customStyle="1" w:styleId="47">
    <w:name w:val="样式 24 10 磅"/>
    <w:pPr>
      <w:widowControl w:val="0"/>
      <w:jc w:val="both"/>
    </w:pPr>
    <w:rPr>
      <w:rFonts w:ascii="Calibri" w:eastAsia="宋体" w:cs="Arial" w:hAnsi="Calibri"/>
      <w:kern w:val="2"/>
      <w:sz w:val="21"/>
      <w:szCs w:val="24"/>
      <w:lang w:val="en-US" w:eastAsia="zh-CN" w:bidi="ar-SA"/>
    </w:rPr>
  </w:style>
  <w:style w:type="paragraph" w:customStyle="1" w:styleId="48">
    <w:name w:val="样式 2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9">
    <w:name w:val="样式 3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50">
    <w:name w:val="样式 25 10 磅"/>
    <w:pPr>
      <w:widowControl w:val="0"/>
      <w:jc w:val="both"/>
    </w:pPr>
    <w:rPr>
      <w:rFonts w:ascii="Calibri" w:eastAsia="宋体" w:cs="Arial" w:hAnsi="Calibri"/>
      <w:kern w:val="2"/>
      <w:sz w:val="21"/>
      <w:szCs w:val="24"/>
      <w:lang w:val="en-US" w:eastAsia="zh-CN" w:bidi="ar-SA"/>
    </w:rPr>
  </w:style>
  <w:style w:type="paragraph" w:customStyle="1" w:styleId="51">
    <w:name w:val="样式 26 10 磅"/>
    <w:pPr>
      <w:widowControl w:val="0"/>
      <w:jc w:val="both"/>
    </w:pPr>
    <w:rPr>
      <w:rFonts w:ascii="Calibri" w:eastAsia="宋体" w:cs="Arial" w:hAnsi="Calibri"/>
      <w:kern w:val="2"/>
      <w:sz w:val="21"/>
      <w:szCs w:val="24"/>
      <w:lang w:val="en-US" w:eastAsia="zh-CN" w:bidi="ar-SA"/>
    </w:rPr>
  </w:style>
  <w:style w:type="paragraph" w:customStyle="1" w:styleId="52">
    <w:name w:val="样式 27 10 磅"/>
    <w:pPr>
      <w:widowControl w:val="0"/>
      <w:jc w:val="both"/>
    </w:pPr>
    <w:rPr>
      <w:rFonts w:ascii="Calibri" w:eastAsia="宋体" w:cs="Times New Roman" w:hAnsi="Calibri"/>
      <w:kern w:val="2"/>
      <w:sz w:val="21"/>
      <w:szCs w:val="22"/>
      <w:lang w:val="en-US" w:eastAsia="zh-CN" w:bidi="ar-SA"/>
    </w:rPr>
  </w:style>
  <w:style w:type="paragraph" w:customStyle="1" w:styleId="53">
    <w:name w:val="样式 28 10 磅"/>
    <w:pPr>
      <w:widowControl w:val="0"/>
      <w:jc w:val="both"/>
    </w:pPr>
    <w:rPr>
      <w:rFonts w:ascii="Calibri" w:eastAsia="宋体" w:cs="Times New Roman" w:hAnsi="Calibri"/>
      <w:kern w:val="2"/>
      <w:sz w:val="21"/>
      <w:szCs w:val="22"/>
      <w:lang w:val="en-US" w:eastAsia="zh-CN" w:bidi="ar-SA"/>
    </w:rPr>
  </w:style>
  <w:style w:type="paragraph" w:customStyle="1" w:styleId="54">
    <w:name w:val="样式 29 10 磅"/>
    <w:pPr>
      <w:widowControl w:val="0"/>
      <w:jc w:val="both"/>
    </w:pPr>
    <w:rPr>
      <w:rFonts w:ascii="Calibri" w:eastAsia="宋体" w:cs="Arial" w:hAnsi="Calibri"/>
      <w:kern w:val="2"/>
      <w:sz w:val="21"/>
      <w:szCs w:val="24"/>
      <w:lang w:val="en-US" w:eastAsia="zh-CN" w:bidi="ar-SA"/>
    </w:rPr>
  </w:style>
  <w:style w:type="paragraph" w:customStyle="1" w:styleId="55">
    <w:name w:val="样式 30 10 磅"/>
    <w:pPr>
      <w:widowControl w:val="0"/>
      <w:jc w:val="both"/>
    </w:pPr>
    <w:rPr>
      <w:rFonts w:ascii="Calibri" w:eastAsia="宋体" w:cs="Arial" w:hAnsi="Calibri"/>
      <w:kern w:val="2"/>
      <w:sz w:val="21"/>
      <w:szCs w:val="24"/>
      <w:lang w:val="en-US" w:eastAsia="zh-CN" w:bidi="ar-SA"/>
    </w:rPr>
  </w:style>
  <w:style w:type="paragraph" w:customStyle="1" w:styleId="56">
    <w:name w:val="样式 31 10 磅"/>
    <w:pPr>
      <w:widowControl w:val="0"/>
      <w:jc w:val="both"/>
    </w:pPr>
    <w:rPr>
      <w:rFonts w:ascii="Calibri" w:eastAsia="宋体" w:cs="Arial" w:hAnsi="Calibri"/>
      <w:kern w:val="2"/>
      <w:sz w:val="21"/>
      <w:szCs w:val="24"/>
      <w:lang w:val="en-US" w:eastAsia="zh-CN" w:bidi="ar-SA"/>
    </w:rPr>
  </w:style>
  <w:style w:type="paragraph" w:customStyle="1" w:styleId="57">
    <w:name w:val="样式 32 10 磅"/>
    <w:pPr>
      <w:widowControl w:val="0"/>
      <w:jc w:val="both"/>
    </w:pPr>
    <w:rPr>
      <w:rFonts w:ascii="Calibri" w:eastAsia="宋体" w:cs="Arial" w:hAnsi="Calibri"/>
      <w:kern w:val="2"/>
      <w:sz w:val="21"/>
      <w:szCs w:val="24"/>
      <w:lang w:val="en-US" w:eastAsia="zh-CN" w:bidi="ar-SA"/>
    </w:rPr>
  </w:style>
  <w:style w:type="paragraph" w:customStyle="1" w:styleId="58">
    <w:name w:val="Revision"/>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180</TotalTime>
  <Application>Yozo_Office</Application>
  <Pages>7</Pages>
  <Words>3184</Words>
  <Characters>3306</Characters>
  <Lines>92</Lines>
  <Paragraphs>93</Paragraphs>
  <CharactersWithSpaces>3398</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阿牧古龙</dc:creator>
  <cp:lastModifiedBy>韩宇</cp:lastModifiedBy>
  <cp:revision>4</cp:revision>
  <cp:lastPrinted>2026-08-31T02:53:32Z</cp:lastPrinted>
  <dcterms:created xsi:type="dcterms:W3CDTF">2025-05-16T10:09:00Z</dcterms:created>
  <dcterms:modified xsi:type="dcterms:W3CDTF">2026-08-31T09:18:55Z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8BFDB32D35E2409A96B744D0C7FC1FE2</vt:lpwstr>
  </property>
  <property fmtid="{D5CDD505-2E9C-101B-9397-08002B2CF9AE}" pid="4" name="KSOTemplateDocerSaveRecord">
    <vt:lpwstr>eyJoZGlkIjoiOWFhZDljNzlhMjEyZTYwYTM1ZTIzNjJiZTRkZGEwNjciLCJ1c2VySWQiOiIzMjU1NzE3NTgifQ==</vt:lpwstr>
  </property>
</Properties>
</file>