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jc w:val="center"/>
        <w:rPr>
          <w:rFonts w:ascii="Times New Roman" w:eastAsia="方正小标宋_GBK" w:cs="Times New Roman" w:hAnsi="Times New Roman"/>
          <w:sz w:val="36"/>
          <w:szCs w:val="36"/>
        </w:rPr>
      </w:pPr>
      <w:r>
        <w:rPr>
          <w:rFonts w:ascii="Times New Roman" w:eastAsia="方正小标宋_GBK" w:cs="Times New Roman" w:hAnsi="Times New Roman"/>
          <w:sz w:val="36"/>
          <w:szCs w:val="36"/>
        </w:rPr>
        <w:t>赛罕海关2026年度海关监管作业</w:t>
      </w:r>
    </w:p>
    <w:p>
      <w:pPr>
        <w:spacing w:line="560" w:lineRule="exact"/>
        <w:jc w:val="center"/>
        <w:rPr>
          <w:rFonts w:ascii="Times New Roman" w:eastAsia="方正小标宋_GBK" w:cs="Times New Roman" w:hAnsi="Times New Roman"/>
          <w:sz w:val="36"/>
          <w:szCs w:val="36"/>
        </w:rPr>
      </w:pPr>
      <w:r>
        <w:rPr>
          <w:rFonts w:ascii="Times New Roman" w:eastAsia="方正小标宋_GBK" w:cs="Times New Roman" w:hAnsi="Times New Roman"/>
          <w:sz w:val="36"/>
          <w:szCs w:val="36"/>
        </w:rPr>
        <w:t>场所涉企行政检查方案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为落实《海关监管作业场所（场地）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“</w:t>
      </w:r>
      <w:r>
        <w:rPr>
          <w:rFonts w:ascii="Times New Roman" w:eastAsia="方正仿宋_GBK" w:cs="Times New Roman" w:hAnsi="Times New Roman"/>
          <w:sz w:val="32"/>
          <w:szCs w:val="32"/>
        </w:rPr>
        <w:t>双随机、一公开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”</w:t>
      </w:r>
    </w:p>
    <w:p>
      <w:pPr>
        <w:spacing w:line="560" w:lineRule="exact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检查工作实施细则》有关要求，严格规范涉企行政检查，提高本辖区海关监管作业场所检查工作（以下简称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“</w:t>
      </w:r>
      <w:r>
        <w:rPr>
          <w:rFonts w:ascii="Times New Roman" w:eastAsia="方正仿宋_GBK" w:cs="Times New Roman" w:hAnsi="Times New Roman"/>
          <w:sz w:val="32"/>
          <w:szCs w:val="32"/>
        </w:rPr>
        <w:t>场所检查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”</w:t>
      </w:r>
      <w:r>
        <w:rPr>
          <w:rFonts w:ascii="Times New Roman" w:eastAsia="方正仿宋_GBK" w:cs="Times New Roman" w:hAnsi="Times New Roman"/>
          <w:sz w:val="32"/>
          <w:szCs w:val="32"/>
        </w:rPr>
        <w:t>）的科学性、规范性，制定本方案。</w:t>
      </w:r>
    </w:p>
    <w:p>
      <w:pPr>
        <w:spacing w:line="560" w:lineRule="exact"/>
        <w:ind w:firstLineChars="200" w:firstLine="640"/>
        <w:rPr>
          <w:rFonts w:ascii="Times New Roman" w:eastAsia="方正黑体_GBK" w:cs="Times New Roman" w:hAnsi="Times New Roman"/>
          <w:sz w:val="32"/>
          <w:szCs w:val="32"/>
        </w:rPr>
      </w:pPr>
      <w:r>
        <w:rPr>
          <w:rFonts w:ascii="Times New Roman" w:eastAsia="方正黑体_GBK" w:cs="Times New Roman" w:hAnsi="Times New Roman"/>
          <w:sz w:val="32"/>
          <w:szCs w:val="32"/>
        </w:rPr>
        <w:t>一、工作任务</w:t>
      </w:r>
    </w:p>
    <w:p>
      <w:pPr>
        <w:pStyle w:val="20"/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按照海关总署向社会公示的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“</w:t>
      </w:r>
      <w:r>
        <w:rPr>
          <w:rFonts w:ascii="Times New Roman" w:eastAsia="方正仿宋_GBK" w:cs="Times New Roman" w:hAnsi="Times New Roman"/>
          <w:sz w:val="32"/>
          <w:szCs w:val="32"/>
        </w:rPr>
        <w:t>海关涉企行政检查事项清单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”</w:t>
      </w:r>
      <w:r>
        <w:rPr>
          <w:rFonts w:ascii="Times New Roman" w:eastAsia="方正仿宋_GBK" w:cs="Times New Roman" w:hAnsi="Times New Roman"/>
          <w:sz w:val="32"/>
          <w:szCs w:val="32"/>
        </w:rPr>
        <w:t>中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“</w:t>
      </w:r>
      <w:r>
        <w:rPr>
          <w:rFonts w:ascii="Times New Roman" w:eastAsia="方正仿宋_GBK" w:cs="Times New Roman" w:hAnsi="Times New Roman"/>
          <w:sz w:val="32"/>
          <w:szCs w:val="32"/>
        </w:rPr>
        <w:t>对海关监管货物仓储企业的检查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”</w:t>
      </w:r>
      <w:r>
        <w:rPr>
          <w:rFonts w:ascii="Times New Roman" w:eastAsia="方正仿宋_GBK" w:cs="Times New Roman" w:hAnsi="Times New Roman"/>
          <w:sz w:val="32"/>
          <w:szCs w:val="32"/>
        </w:rPr>
        <w:t>的检查依据、检查标准、检查文书，对经营</w:t>
      </w:r>
      <w:bookmarkStart w:id="0" w:name="_GoBack"/>
      <w:bookmarkEnd w:id="0"/>
      <w:r>
        <w:rPr>
          <w:rFonts w:ascii="Times New Roman" w:eastAsia="方正仿宋_GBK" w:cs="Times New Roman" w:hAnsi="Times New Roman"/>
          <w:sz w:val="32"/>
          <w:szCs w:val="32"/>
        </w:rPr>
        <w:t>主体为企业的海关监管作业场所规范开展检查。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黑体_GBK" w:cs="Times New Roman" w:hAnsi="Times New Roman"/>
          <w:sz w:val="32"/>
          <w:szCs w:val="32"/>
        </w:rPr>
        <w:t>二、工作职责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赛罕海关场所检查工作由监管一科牵头组织实施，监管三科配合开展。其中监管一科负责沙良海关监管作业场所、力升物流铁路运输类监管作业场所检查工作，监管三科负责呼和浩特综合保税区海关监管作业场所、呼和浩特综合保税区快递类海关监管作业场所检查工作。</w:t>
      </w:r>
    </w:p>
    <w:p>
      <w:pPr>
        <w:spacing w:line="560" w:lineRule="exact"/>
        <w:ind w:firstLineChars="200" w:firstLine="640"/>
        <w:rPr>
          <w:rFonts w:ascii="Times New Roman" w:eastAsia="方正黑体_GBK" w:cs="Times New Roman" w:hAnsi="Times New Roman"/>
          <w:sz w:val="32"/>
          <w:szCs w:val="32"/>
        </w:rPr>
      </w:pPr>
      <w:r>
        <w:rPr>
          <w:rFonts w:ascii="Times New Roman" w:eastAsia="方正黑体_GBK" w:cs="Times New Roman" w:hAnsi="Times New Roman"/>
          <w:sz w:val="32"/>
          <w:szCs w:val="32"/>
        </w:rPr>
        <w:t>三、组织实施</w:t>
      </w:r>
    </w:p>
    <w:p>
      <w:pPr>
        <w:spacing w:line="560" w:lineRule="exact"/>
        <w:ind w:firstLineChars="200" w:firstLine="640"/>
        <w:rPr>
          <w:rFonts w:ascii="Times New Roman" w:eastAsia="方正楷体_GBK" w:cs="Times New Roman" w:hAnsi="Times New Roman"/>
          <w:sz w:val="32"/>
          <w:szCs w:val="32"/>
        </w:rPr>
      </w:pPr>
      <w:r>
        <w:rPr>
          <w:rFonts w:ascii="Times New Roman" w:eastAsia="方正楷体_GBK" w:cs="Times New Roman" w:hAnsi="Times New Roman"/>
          <w:sz w:val="32"/>
          <w:szCs w:val="32"/>
        </w:rPr>
        <w:t>（一）准备阶段（</w:t>
      </w:r>
      <w:r>
        <w:rPr>
          <w:rFonts w:ascii="Times New Roman" w:eastAsia="方正楷体_GBK" w:cs="Times New Roman" w:hAnsi="Times New Roman" w:hint="eastAsia"/>
          <w:sz w:val="32"/>
          <w:szCs w:val="32"/>
        </w:rPr>
        <w:t>202</w:t>
      </w:r>
      <w:r>
        <w:rPr>
          <w:rFonts w:ascii="Times New Roman" w:eastAsia="方正楷体_GBK" w:cs="Times New Roman" w:hAnsi="Times New Roman"/>
          <w:sz w:val="32"/>
          <w:szCs w:val="32"/>
        </w:rPr>
        <w:t>6</w:t>
      </w:r>
      <w:r>
        <w:rPr>
          <w:rFonts w:ascii="Times New Roman" w:eastAsia="方正楷体_GBK" w:cs="Times New Roman" w:hAnsi="Times New Roman" w:hint="eastAsia"/>
          <w:sz w:val="32"/>
          <w:szCs w:val="32"/>
        </w:rPr>
        <w:t>年</w:t>
      </w:r>
      <w:r>
        <w:rPr>
          <w:rFonts w:ascii="Times New Roman" w:eastAsia="方正楷体_GBK" w:cs="Times New Roman" w:hAnsi="Times New Roman"/>
          <w:sz w:val="32"/>
          <w:szCs w:val="32"/>
        </w:rPr>
        <w:t>1月）。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b/>
          <w:sz w:val="32"/>
          <w:szCs w:val="32"/>
        </w:rPr>
      </w:pPr>
      <w:r>
        <w:rPr>
          <w:rFonts w:ascii="Times New Roman" w:eastAsia="方正仿宋_GBK" w:cs="Times New Roman" w:hAnsi="Times New Roman"/>
          <w:b/>
          <w:sz w:val="32"/>
          <w:szCs w:val="32"/>
        </w:rPr>
        <w:t>1.明确检查对象和人员。</w:t>
      </w:r>
    </w:p>
    <w:p>
      <w:pPr>
        <w:pStyle w:val="23"/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2026年度赛罕海关场所检查工作的检查对象为4个海关监管作业场所，检查名单见附件1。</w:t>
      </w:r>
    </w:p>
    <w:p>
      <w:pPr>
        <w:spacing w:line="560" w:lineRule="exact"/>
        <w:ind w:firstLineChars="200" w:firstLine="640"/>
        <w:rPr>
          <w:rFonts w:ascii="方正仿宋_GBK" w:eastAsia="方正仿宋_GBK" w:cs="Times New Roman" w:hint="eastAsia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2026年度赛罕海关场所检查工作由12名海关执法人员实施，执法人员全部持有《中华人民共和国海关执法证》。检查人员以场所监管岗为主，还根据监管业务需要增加了卫生监督、食品安全监督、动植物检疫、商品检验、科技管理等业务人员，人员名单见附件2。</w:t>
      </w:r>
      <w:r>
        <w:rPr>
          <w:rFonts w:ascii="方正仿宋_GBK" w:eastAsia="方正仿宋_GBK" w:cs="Times New Roman" w:hint="eastAsia"/>
          <w:sz w:val="32"/>
          <w:szCs w:val="32"/>
        </w:rPr>
        <w:t>（检查人员名单可根据实际情况动态调整）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b/>
          <w:sz w:val="32"/>
          <w:szCs w:val="32"/>
        </w:rPr>
      </w:pPr>
      <w:r>
        <w:rPr>
          <w:rFonts w:ascii="Times New Roman" w:eastAsia="方正仿宋_GBK" w:cs="Times New Roman" w:hAnsi="Times New Roman"/>
          <w:b/>
          <w:sz w:val="32"/>
          <w:szCs w:val="32"/>
        </w:rPr>
        <w:t>2.开展行政检查审批。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根据工作实际，制定《海关监管货物仓储企业行政检查审批表》，报本单位负责人审批。</w:t>
      </w:r>
    </w:p>
    <w:p>
      <w:pPr>
        <w:spacing w:line="560" w:lineRule="exact"/>
        <w:ind w:firstLineChars="200" w:firstLine="640"/>
        <w:rPr>
          <w:rFonts w:ascii="方正楷体_GBK" w:eastAsia="方正楷体_GBK" w:cs="Times New Roman" w:hint="eastAsia"/>
          <w:sz w:val="32"/>
          <w:szCs w:val="32"/>
        </w:rPr>
      </w:pPr>
      <w:r>
        <w:rPr>
          <w:rFonts w:ascii="方正楷体_GBK" w:eastAsia="方正楷体_GBK" w:cs="Times New Roman" w:hint="eastAsia"/>
          <w:sz w:val="32"/>
          <w:szCs w:val="32"/>
        </w:rPr>
        <w:t>（二）实施阶段</w:t>
      </w:r>
      <w:r>
        <w:rPr>
          <w:rFonts w:ascii="方正楷体_GBK" w:eastAsia="方正楷体_GBK" w:cs="Times New Roman" w:hint="eastAsia"/>
          <w:b/>
          <w:bCs/>
          <w:sz w:val="32"/>
          <w:szCs w:val="32"/>
        </w:rPr>
        <w:t>（2026年全年）</w:t>
      </w:r>
      <w:r>
        <w:rPr>
          <w:rFonts w:ascii="方正楷体_GBK" w:eastAsia="方正楷体_GBK" w:cs="Times New Roman" w:hint="eastAsia"/>
          <w:sz w:val="32"/>
          <w:szCs w:val="32"/>
        </w:rPr>
        <w:t>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根据场所检查要求，以半年为单位分步实施。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b/>
          <w:sz w:val="32"/>
          <w:szCs w:val="32"/>
        </w:rPr>
      </w:pPr>
      <w:r>
        <w:rPr>
          <w:rFonts w:ascii="Times New Roman" w:eastAsia="方正仿宋_GBK" w:cs="Times New Roman" w:hAnsi="Times New Roman"/>
          <w:b/>
          <w:sz w:val="32"/>
          <w:szCs w:val="32"/>
        </w:rPr>
        <w:t>1.系统派单。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在海关监管作业场所（场地）管理系统中建立或调整检查对象库和人员库。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结合工作实际综合研判确定派单检查项目，随机抽取检查对象，随机选派海关执法人员实施检查。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合理安排检查任务，对每个场所实现半年至少检查1次。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b/>
          <w:sz w:val="32"/>
          <w:szCs w:val="32"/>
        </w:rPr>
      </w:pPr>
      <w:r>
        <w:rPr>
          <w:rFonts w:ascii="Times New Roman" w:eastAsia="方正仿宋_GBK" w:cs="Times New Roman" w:hAnsi="Times New Roman"/>
          <w:b/>
          <w:sz w:val="32"/>
          <w:szCs w:val="32"/>
        </w:rPr>
        <w:t>2.检查方式。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检查方式主要分为现场检查和非现场检查。现场检查是指通过实地核查、现场查阅资料、现场询问等方式，对企业开展的行政检查；非现场检查是指通过视频监控、自动巡查、</w:t>
      </w:r>
    </w:p>
    <w:p>
      <w:pPr>
        <w:spacing w:line="560" w:lineRule="exact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智能预警等远程方式，对企业开展的行政检查。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现场检查时，检查人员应携带执法证件、《海关监管货物仓储企业行政检查通知书》等文书，根据实际需要佩戴执法记录仪或音视频单兵设备等信息化设备，前往检查对象场所（场地）进行实地检查。检查人员应如实填写《海关监管货物仓储企业行政检查情况记录表（含现场检查笔录）》。完成检查后，检查结果能当场告知的，应当场告知。不能当场告知的，应及时告知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非现场检查时，检查人员应如实填写《海关监管货物仓储企业行政检查通知书》《海关监管货物仓储企业行政检查情况记录表》等行政检查文书，通过传真、电子邮件、微信、短信等方式送达被检查人，并及时告知检查结果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b/>
          <w:sz w:val="32"/>
          <w:szCs w:val="32"/>
        </w:rPr>
      </w:pPr>
      <w:r>
        <w:rPr>
          <w:rFonts w:ascii="Times New Roman" w:eastAsia="方正仿宋_GBK" w:cs="Times New Roman" w:hAnsi="Times New Roman"/>
          <w:b/>
          <w:sz w:val="32"/>
          <w:szCs w:val="32"/>
        </w:rPr>
        <w:t>3.结果公开。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检查结果以《海关监管作业场所（场地）检查结果公示单》的形式公开在呼和浩特海关门户网站（网站），接受社会监督。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b/>
          <w:sz w:val="32"/>
          <w:szCs w:val="32"/>
        </w:rPr>
      </w:pPr>
      <w:r>
        <w:rPr>
          <w:rFonts w:ascii="Times New Roman" w:eastAsia="方正仿宋_GBK" w:cs="Times New Roman" w:hAnsi="Times New Roman"/>
          <w:b/>
          <w:sz w:val="32"/>
          <w:szCs w:val="32"/>
        </w:rPr>
        <w:t>4.问题跟进。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及时跟踪场所检查发现问题的处理情况，督促整改到位。</w:t>
      </w:r>
    </w:p>
    <w:p>
      <w:pPr>
        <w:spacing w:line="560" w:lineRule="exact"/>
        <w:ind w:firstLineChars="200" w:firstLine="640"/>
        <w:rPr>
          <w:rFonts w:ascii="Times New Roman" w:eastAsia="方正楷体_GBK" w:cs="Times New Roman" w:hAnsi="Times New Roman"/>
          <w:sz w:val="32"/>
          <w:szCs w:val="32"/>
        </w:rPr>
      </w:pPr>
      <w:r>
        <w:rPr>
          <w:rFonts w:ascii="Times New Roman" w:eastAsia="方正楷体_GBK" w:cs="Times New Roman" w:hAnsi="Times New Roman"/>
          <w:sz w:val="32"/>
          <w:szCs w:val="32"/>
        </w:rPr>
        <w:t>（三）总结阶段（2027年1月底前）。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对上年度场所检查工作规范性、有效性进行自查、评估、总结，发现的共性问题和突出隐患提出工作建议，为后续场所监管工作提供参考依据，并报本单位负责人。</w:t>
      </w:r>
    </w:p>
    <w:p>
      <w:pPr>
        <w:spacing w:line="560" w:lineRule="exact"/>
        <w:ind w:firstLineChars="200" w:firstLine="640"/>
        <w:rPr>
          <w:rFonts w:ascii="Times New Roman" w:eastAsia="方正黑体_GBK" w:cs="Times New Roman" w:hAnsi="Times New Roman"/>
          <w:sz w:val="32"/>
          <w:szCs w:val="32"/>
        </w:rPr>
      </w:pPr>
      <w:r>
        <w:rPr>
          <w:rFonts w:ascii="Times New Roman" w:eastAsia="方正黑体_GBK" w:cs="Times New Roman" w:hAnsi="Times New Roman"/>
          <w:sz w:val="32"/>
          <w:szCs w:val="32"/>
        </w:rPr>
        <w:t>三、相关要求</w:t>
      </w:r>
    </w:p>
    <w:p>
      <w:pPr>
        <w:spacing w:line="560" w:lineRule="exact"/>
        <w:ind w:firstLineChars="200" w:firstLine="640"/>
        <w:rPr>
          <w:rFonts w:ascii="Times New Roman" w:eastAsia="方正楷体_GBK" w:cs="Times New Roman" w:hAnsi="Times New Roman"/>
          <w:sz w:val="32"/>
          <w:szCs w:val="32"/>
        </w:rPr>
      </w:pPr>
      <w:r>
        <w:rPr>
          <w:rFonts w:ascii="Times New Roman" w:eastAsia="方正楷体_GBK" w:cs="Times New Roman" w:hAnsi="Times New Roman"/>
          <w:sz w:val="32"/>
          <w:szCs w:val="32"/>
        </w:rPr>
        <w:t>（一）严格落实规范涉企行政检查要求。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贯彻落实规范涉企行政检查的要求，确保行政检查于法有据、严格规范、公正文明、精准高效，进一步优化营商环境。要切实做到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“</w:t>
      </w:r>
      <w:r>
        <w:rPr>
          <w:rFonts w:ascii="Times New Roman" w:eastAsia="方正仿宋_GBK" w:cs="Times New Roman" w:hAnsi="Times New Roman"/>
          <w:sz w:val="32"/>
          <w:szCs w:val="32"/>
        </w:rPr>
        <w:t>五个严禁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”“</w:t>
      </w:r>
      <w:r>
        <w:rPr>
          <w:rFonts w:ascii="Times New Roman" w:eastAsia="方正仿宋_GBK" w:cs="Times New Roman" w:hAnsi="Times New Roman"/>
          <w:sz w:val="32"/>
          <w:szCs w:val="32"/>
        </w:rPr>
        <w:t>八个不得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”</w:t>
      </w:r>
      <w:r>
        <w:rPr>
          <w:rFonts w:ascii="Times New Roman" w:eastAsia="方正仿宋_GBK" w:cs="Times New Roman" w:hAnsi="Times New Roman"/>
          <w:sz w:val="32"/>
          <w:szCs w:val="32"/>
        </w:rPr>
        <w:t>，防止逐利检查、任性检查。严格落实对同一企业实施行政检查的年度频次上限要求，能通过书面核查、信息共享、智慧监管等方式监管的，不得入企实施现场检查。</w:t>
      </w:r>
    </w:p>
    <w:p>
      <w:pPr>
        <w:spacing w:line="560" w:lineRule="exact"/>
        <w:ind w:firstLineChars="200" w:firstLine="640"/>
        <w:rPr>
          <w:rFonts w:ascii="Times New Roman" w:eastAsia="方正楷体_GBK" w:cs="Times New Roman" w:hAnsi="Times New Roman"/>
          <w:sz w:val="32"/>
          <w:szCs w:val="32"/>
        </w:rPr>
      </w:pPr>
      <w:r>
        <w:rPr>
          <w:rFonts w:ascii="Times New Roman" w:eastAsia="方正楷体_GBK" w:cs="Times New Roman" w:hAnsi="Times New Roman"/>
          <w:sz w:val="32"/>
          <w:szCs w:val="32"/>
        </w:rPr>
        <w:t>（二）严格落实</w:t>
      </w:r>
      <w:r>
        <w:rPr>
          <w:rFonts w:ascii="Times New Roman" w:eastAsia="方正楷体_GBK" w:cs="Times New Roman" w:hAnsi="Times New Roman" w:hint="eastAsia"/>
          <w:sz w:val="32"/>
          <w:szCs w:val="32"/>
        </w:rPr>
        <w:t>“</w:t>
      </w:r>
      <w:r>
        <w:rPr>
          <w:rFonts w:ascii="Times New Roman" w:eastAsia="方正楷体_GBK" w:cs="Times New Roman" w:hAnsi="Times New Roman"/>
          <w:sz w:val="32"/>
          <w:szCs w:val="32"/>
        </w:rPr>
        <w:t>双随机、一公开</w:t>
      </w:r>
      <w:r>
        <w:rPr>
          <w:rFonts w:ascii="Times New Roman" w:eastAsia="方正楷体_GBK" w:cs="Times New Roman" w:hAnsi="Times New Roman" w:hint="eastAsia"/>
          <w:sz w:val="32"/>
          <w:szCs w:val="32"/>
        </w:rPr>
        <w:t>”</w:t>
      </w:r>
      <w:r>
        <w:rPr>
          <w:rFonts w:ascii="Times New Roman" w:eastAsia="方正楷体_GBK" w:cs="Times New Roman" w:hAnsi="Times New Roman"/>
          <w:sz w:val="32"/>
          <w:szCs w:val="32"/>
        </w:rPr>
        <w:t>要求。</w:t>
      </w:r>
    </w:p>
    <w:p>
      <w:pPr>
        <w:pStyle w:val="44"/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落实随机抽取检查对象、随机选派海关执法人员、及时公开相关结果等工作要求。规范履行出具行政检查通知书，主动出示执法证件，现场检查记录、检查结果告知等工作程序。加强内部监督，严格按时限要求完成检查任务，严格控制非必要的改单操作，切实提高场所检查工作的科学性、规范性。</w:t>
      </w:r>
    </w:p>
    <w:p>
      <w:pPr>
        <w:spacing w:line="560" w:lineRule="exact"/>
        <w:ind w:firstLineChars="200" w:firstLine="640"/>
        <w:rPr>
          <w:rFonts w:ascii="Times New Roman" w:eastAsia="方正黑体_GBK" w:cs="Times New Roman" w:hAnsi="Times New Roman"/>
          <w:sz w:val="32"/>
          <w:szCs w:val="32"/>
        </w:rPr>
      </w:pPr>
    </w:p>
    <w:p>
      <w:pPr>
        <w:spacing w:line="560" w:lineRule="exact"/>
        <w:ind w:firstLineChars="200" w:firstLine="640"/>
        <w:rPr>
          <w:rFonts w:ascii="Times New Roman" w:eastAsia="方正黑体_GBK" w:cs="Times New Roman" w:hAnsi="Times New Roman"/>
          <w:sz w:val="32"/>
          <w:szCs w:val="32"/>
        </w:rPr>
      </w:pPr>
    </w:p>
    <w:p>
      <w:pPr>
        <w:spacing w:line="560" w:lineRule="exact"/>
        <w:ind w:left="0"/>
        <w:rPr>
          <w:rFonts w:ascii="Times New Roman" w:eastAsia="方正黑体_GBK" w:cs="Times New Roman" w:hAnsi="Times New Roman" w:hint="eastAsia"/>
          <w:sz w:val="32"/>
          <w:szCs w:val="32"/>
        </w:rPr>
      </w:pPr>
    </w:p>
    <w:p>
      <w:pPr>
        <w:spacing w:line="560" w:lineRule="exact"/>
        <w:ind w:firstLineChars="200" w:firstLine="640"/>
        <w:rPr>
          <w:rFonts w:ascii="Times New Roman" w:eastAsia="方正黑体_GBK" w:cs="Times New Roman" w:hAnsi="Times New Roman"/>
          <w:sz w:val="32"/>
          <w:szCs w:val="32"/>
        </w:rPr>
      </w:pPr>
    </w:p>
    <w:p>
      <w:pPr>
        <w:spacing w:line="560" w:lineRule="exact"/>
        <w:rPr>
          <w:rFonts w:ascii="Times New Roman" w:eastAsia="方正黑体_GBK" w:cs="Times New Roman" w:hAnsi="Times New Roman"/>
          <w:sz w:val="32"/>
          <w:szCs w:val="32"/>
        </w:rPr>
      </w:pPr>
      <w:r>
        <w:rPr>
          <w:rFonts w:ascii="Times New Roman" w:eastAsia="方正黑体_GBK" w:cs="Times New Roman" w:hAnsi="Times New Roman"/>
          <w:sz w:val="32"/>
          <w:szCs w:val="32"/>
        </w:rPr>
        <w:t>附件</w:t>
      </w:r>
    </w:p>
    <w:p>
      <w:pPr>
        <w:pStyle w:val="65"/>
        <w:spacing w:line="560" w:lineRule="exact"/>
        <w:ind w:left="640" w:firstLineChars="0" w:firstLine="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1. 检查对象名单</w:t>
      </w:r>
    </w:p>
    <w:tbl>
      <w:tblPr>
        <w:jc w:val="left"/>
        <w:tblInd w:w="-311" w:type="dxa"/>
        <w:tblW w:w="9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4"/>
        <w:gridCol w:w="2973"/>
        <w:gridCol w:w="2727"/>
      </w:tblGrid>
      <w:tr>
        <w:tc>
          <w:tcPr>
            <w:tcW w:w="3434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bCs/>
                <w:sz w:val="28"/>
                <w:szCs w:val="28"/>
              </w:rPr>
              <w:t>场地名称</w:t>
            </w:r>
          </w:p>
        </w:tc>
        <w:tc>
          <w:tcPr>
            <w:tcW w:w="2973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bCs/>
                <w:sz w:val="28"/>
                <w:szCs w:val="28"/>
              </w:rPr>
              <w:t>企业名称</w:t>
            </w:r>
          </w:p>
        </w:tc>
        <w:tc>
          <w:tcPr>
            <w:tcW w:w="2727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bCs/>
                <w:sz w:val="28"/>
                <w:szCs w:val="28"/>
              </w:rPr>
              <w:t>统一社会信用代码</w:t>
            </w:r>
          </w:p>
        </w:tc>
      </w:tr>
      <w:tr>
        <w:tc>
          <w:tcPr>
            <w:tcW w:w="3434" w:type="dxa"/>
          </w:tcPr>
          <w:p>
            <w:pPr>
              <w:spacing w:line="560" w:lineRule="exact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沙良海关监管作业场所</w:t>
            </w:r>
          </w:p>
        </w:tc>
        <w:tc>
          <w:tcPr>
            <w:tcW w:w="2973" w:type="dxa"/>
          </w:tcPr>
          <w:p>
            <w:pPr>
              <w:spacing w:line="560" w:lineRule="exact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内蒙古呼铁对外经济技术合作集团有限责任公司</w:t>
            </w:r>
          </w:p>
        </w:tc>
        <w:tc>
          <w:tcPr>
            <w:tcW w:w="2727" w:type="dxa"/>
          </w:tcPr>
          <w:p>
            <w:pPr>
              <w:spacing w:line="560" w:lineRule="exact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91150100743896004G</w:t>
            </w:r>
          </w:p>
        </w:tc>
      </w:tr>
      <w:tr>
        <w:tc>
          <w:tcPr>
            <w:tcW w:w="3434" w:type="dxa"/>
          </w:tcPr>
          <w:p>
            <w:pPr>
              <w:spacing w:line="560" w:lineRule="exact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力升物流铁路运输类监管作业场所</w:t>
            </w:r>
          </w:p>
        </w:tc>
        <w:tc>
          <w:tcPr>
            <w:tcW w:w="2973" w:type="dxa"/>
          </w:tcPr>
          <w:p>
            <w:pPr>
              <w:spacing w:line="560" w:lineRule="exact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内蒙古力升物流发展有限公司</w:t>
            </w:r>
          </w:p>
        </w:tc>
        <w:tc>
          <w:tcPr>
            <w:tcW w:w="2727" w:type="dxa"/>
          </w:tcPr>
          <w:p>
            <w:pPr>
              <w:spacing w:line="560" w:lineRule="exact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91150121MA0R8R0T65</w:t>
            </w:r>
          </w:p>
        </w:tc>
      </w:tr>
      <w:tr>
        <w:tc>
          <w:tcPr>
            <w:tcW w:w="3434" w:type="dxa"/>
          </w:tcPr>
          <w:p>
            <w:pPr>
              <w:spacing w:line="560" w:lineRule="exact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呼和浩特综合保税区海关监管作业场所</w:t>
            </w:r>
          </w:p>
        </w:tc>
        <w:tc>
          <w:tcPr>
            <w:tcW w:w="2973" w:type="dxa"/>
          </w:tcPr>
          <w:p>
            <w:pPr>
              <w:spacing w:line="560" w:lineRule="exact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呼和浩特市北兴产业投资发展有限责任公司</w:t>
            </w:r>
          </w:p>
        </w:tc>
        <w:tc>
          <w:tcPr>
            <w:tcW w:w="2727" w:type="dxa"/>
          </w:tcPr>
          <w:p>
            <w:pPr>
              <w:spacing w:line="560" w:lineRule="exact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911501915581279751</w:t>
            </w:r>
          </w:p>
        </w:tc>
      </w:tr>
      <w:tr>
        <w:tc>
          <w:tcPr>
            <w:tcW w:w="3434" w:type="dxa"/>
          </w:tcPr>
          <w:p>
            <w:pPr>
              <w:spacing w:line="560" w:lineRule="exact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呼和浩特综合保税区快递类海关监管作业场所</w:t>
            </w:r>
          </w:p>
        </w:tc>
        <w:tc>
          <w:tcPr>
            <w:tcW w:w="2973" w:type="dxa"/>
          </w:tcPr>
          <w:p>
            <w:pPr>
              <w:spacing w:line="560" w:lineRule="exact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呼和浩特市北兴产业投资发展有限责任公司</w:t>
            </w:r>
          </w:p>
        </w:tc>
        <w:tc>
          <w:tcPr>
            <w:tcW w:w="2727" w:type="dxa"/>
          </w:tcPr>
          <w:p>
            <w:pPr>
              <w:spacing w:line="560" w:lineRule="exact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911501915581279751</w:t>
            </w:r>
          </w:p>
        </w:tc>
      </w:tr>
    </w:tbl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2．检查人员名单</w:t>
      </w:r>
    </w:p>
    <w:tbl>
      <w:tblPr>
        <w:jc w:val="left"/>
        <w:tblInd w:w="-311" w:type="dxa"/>
        <w:tblW w:w="9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1"/>
        <w:gridCol w:w="2839"/>
        <w:gridCol w:w="3145"/>
      </w:tblGrid>
      <w:tr>
        <w:tc>
          <w:tcPr>
            <w:tcW w:w="3151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人员姓名</w:t>
            </w:r>
          </w:p>
        </w:tc>
        <w:tc>
          <w:tcPr>
            <w:tcW w:w="2839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工号</w:t>
            </w:r>
          </w:p>
        </w:tc>
        <w:tc>
          <w:tcPr>
            <w:tcW w:w="3145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科室</w:t>
            </w:r>
          </w:p>
        </w:tc>
      </w:tr>
      <w:tr>
        <w:tc>
          <w:tcPr>
            <w:tcW w:w="3151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张春楠</w:t>
            </w:r>
          </w:p>
        </w:tc>
        <w:tc>
          <w:tcPr>
            <w:tcW w:w="2839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0750260</w:t>
            </w:r>
          </w:p>
        </w:tc>
        <w:tc>
          <w:tcPr>
            <w:tcW w:w="3145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监管一科</w:t>
            </w:r>
          </w:p>
        </w:tc>
      </w:tr>
      <w:tr>
        <w:tc>
          <w:tcPr>
            <w:tcW w:w="3151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王忠海</w:t>
            </w:r>
          </w:p>
        </w:tc>
        <w:tc>
          <w:tcPr>
            <w:tcW w:w="2839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0710930</w:t>
            </w:r>
          </w:p>
        </w:tc>
        <w:tc>
          <w:tcPr>
            <w:tcW w:w="3145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监管三科</w:t>
            </w:r>
          </w:p>
        </w:tc>
      </w:tr>
      <w:tr>
        <w:tc>
          <w:tcPr>
            <w:tcW w:w="3151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张泽宇</w:t>
            </w:r>
          </w:p>
        </w:tc>
        <w:tc>
          <w:tcPr>
            <w:tcW w:w="2839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0713110</w:t>
            </w:r>
          </w:p>
        </w:tc>
        <w:tc>
          <w:tcPr>
            <w:tcW w:w="3145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监管一科</w:t>
            </w:r>
          </w:p>
        </w:tc>
      </w:tr>
      <w:tr>
        <w:tc>
          <w:tcPr>
            <w:tcW w:w="3151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韩峰云</w:t>
            </w:r>
          </w:p>
        </w:tc>
        <w:tc>
          <w:tcPr>
            <w:tcW w:w="2839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0711090</w:t>
            </w:r>
          </w:p>
        </w:tc>
        <w:tc>
          <w:tcPr>
            <w:tcW w:w="3145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监管一科</w:t>
            </w:r>
          </w:p>
        </w:tc>
      </w:tr>
      <w:tr>
        <w:tc>
          <w:tcPr>
            <w:tcW w:w="3151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徐远</w:t>
            </w:r>
          </w:p>
        </w:tc>
        <w:tc>
          <w:tcPr>
            <w:tcW w:w="2839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0712850</w:t>
            </w:r>
          </w:p>
        </w:tc>
        <w:tc>
          <w:tcPr>
            <w:tcW w:w="3145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监管一科</w:t>
            </w:r>
          </w:p>
        </w:tc>
      </w:tr>
      <w:tr>
        <w:tc>
          <w:tcPr>
            <w:tcW w:w="3151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焦文超</w:t>
            </w:r>
          </w:p>
        </w:tc>
        <w:tc>
          <w:tcPr>
            <w:tcW w:w="2839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0713190</w:t>
            </w:r>
          </w:p>
        </w:tc>
        <w:tc>
          <w:tcPr>
            <w:tcW w:w="3145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监管一科</w:t>
            </w:r>
          </w:p>
        </w:tc>
      </w:tr>
      <w:tr>
        <w:tc>
          <w:tcPr>
            <w:tcW w:w="3151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贾子叶</w:t>
            </w:r>
          </w:p>
        </w:tc>
        <w:tc>
          <w:tcPr>
            <w:tcW w:w="2839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0760300</w:t>
            </w:r>
          </w:p>
        </w:tc>
        <w:tc>
          <w:tcPr>
            <w:tcW w:w="3145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监管一科</w:t>
            </w:r>
          </w:p>
        </w:tc>
      </w:tr>
      <w:tr>
        <w:tc>
          <w:tcPr>
            <w:tcW w:w="3151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郑豹</w:t>
            </w:r>
          </w:p>
        </w:tc>
        <w:tc>
          <w:tcPr>
            <w:tcW w:w="2839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0715920</w:t>
            </w:r>
          </w:p>
        </w:tc>
        <w:tc>
          <w:tcPr>
            <w:tcW w:w="3145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监管一科</w:t>
            </w:r>
          </w:p>
        </w:tc>
      </w:tr>
      <w:tr>
        <w:tc>
          <w:tcPr>
            <w:tcW w:w="3151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翁楠</w:t>
            </w:r>
          </w:p>
        </w:tc>
        <w:tc>
          <w:tcPr>
            <w:tcW w:w="2839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0760390</w:t>
            </w:r>
          </w:p>
        </w:tc>
        <w:tc>
          <w:tcPr>
            <w:tcW w:w="3145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监管三科</w:t>
            </w:r>
          </w:p>
        </w:tc>
      </w:tr>
      <w:tr>
        <w:tc>
          <w:tcPr>
            <w:tcW w:w="3151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蔡超</w:t>
            </w:r>
          </w:p>
        </w:tc>
        <w:tc>
          <w:tcPr>
            <w:tcW w:w="2839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0722100</w:t>
            </w:r>
          </w:p>
        </w:tc>
        <w:tc>
          <w:tcPr>
            <w:tcW w:w="3145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监管三科</w:t>
            </w:r>
          </w:p>
        </w:tc>
      </w:tr>
      <w:tr>
        <w:tc>
          <w:tcPr>
            <w:tcW w:w="3151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刘蕴韬</w:t>
            </w:r>
          </w:p>
        </w:tc>
        <w:tc>
          <w:tcPr>
            <w:tcW w:w="2839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0721490</w:t>
            </w:r>
          </w:p>
        </w:tc>
        <w:tc>
          <w:tcPr>
            <w:tcW w:w="3145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监管三科</w:t>
            </w:r>
          </w:p>
        </w:tc>
      </w:tr>
      <w:tr>
        <w:tc>
          <w:tcPr>
            <w:tcW w:w="3151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曹文</w:t>
            </w:r>
          </w:p>
        </w:tc>
        <w:tc>
          <w:tcPr>
            <w:tcW w:w="2839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0715930</w:t>
            </w:r>
          </w:p>
        </w:tc>
        <w:tc>
          <w:tcPr>
            <w:tcW w:w="3145" w:type="dxa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集中审像科</w:t>
            </w:r>
          </w:p>
        </w:tc>
      </w:tr>
    </w:tbl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</w:p>
    <w:sectPr>
      <w:footerReference w:type="default" r:id="rId2"/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variable"/>
    <w:sig w:usb0="E0002AFF" w:usb1="C0007843" w:usb2="00000009" w:usb3="00000000" w:csb0="000001FF" w:csb1="00000000"/>
  </w:font>
  <w:font w:name="等线">
    <w:altName w:val="Arial Unicode MS"/>
    <w:panose1 w:val="00000000000000000000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7"/>
      <w:tabs>
        <w:tab w:val="center" w:pos="4153"/>
        <w:tab w:val="right" w:pos="8306"/>
      </w:tabs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5</w:t>
    </w:r>
    <w:r>
      <w:fldChar w:fldCharType="end"/>
    </w:r>
  </w:p>
  <w:p>
    <w:pPr>
      <w:pStyle w:val="17"/>
      <w:tabs>
        <w:tab w:val="center" w:pos="4153"/>
        <w:tab w:val="right" w:pos="8306"/>
      </w:tabs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macro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eastAsia="宋体" w:cs="Times New Roman" w:hAnsi="Courier New"/>
      <w:sz w:val="24"/>
      <w:szCs w:val="24"/>
      <w:lang w:val="en-US" w:eastAsia="zh-CN" w:bidi="ar-SA"/>
    </w:rPr>
  </w:style>
  <w:style w:type="paragraph" w:styleId="16">
    <w:name w:val="Normal Indent"/>
    <w:basedOn w:val="0"/>
    <w:pPr>
      <w:ind w:firstLine="420"/>
    </w:pPr>
  </w:style>
  <w:style w:type="paragraph" w:styleId="17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8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9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3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4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5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6">
    <w:name w:val="样式 7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27">
    <w:name w:val="样式 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8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9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0">
    <w:name w:val="样式 11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1">
    <w:name w:val="样式 1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2">
    <w:name w:val="样式 13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3">
    <w:name w:val="样式 1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5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6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8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9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0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">
    <w:name w:val="样式 2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">
    <w:name w:val="样式 24 10 磅"/>
    <w:next w:val="5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">
    <w:name w:val="样式 2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5">
    <w:name w:val="样式 2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6">
    <w:name w:val="样式 2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7">
    <w:name w:val="样式 2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8">
    <w:name w:val="样式 2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9">
    <w:name w:val="样式 3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0">
    <w:name w:val="样式 3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1">
    <w:name w:val="样式 3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2">
    <w:name w:val="样式 3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53">
    <w:name w:val="index 8"/>
    <w:basedOn w:val="0"/>
    <w:autoRedefine/>
    <w:next w:val="0"/>
    <w:pPr>
      <w:ind w:left="2940"/>
    </w:pPr>
  </w:style>
  <w:style w:type="paragraph" w:customStyle="1" w:styleId="54">
    <w:name w:val="样式 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">
    <w:name w:val="样式 3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6">
    <w:name w:val="样式 3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7">
    <w:name w:val="样式 3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8">
    <w:name w:val="样式 3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9">
    <w:name w:val="样式 3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0">
    <w:name w:val="样式 4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1">
    <w:name w:val="样式 4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2">
    <w:name w:val="样式 4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3">
    <w:name w:val="样式 小四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4">
    <w:name w:val="样式 1 小四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5">
    <w:name w:val="List Paragraph"/>
    <w:basedOn w:val="0"/>
    <w:pPr>
      <w:ind w:firstLineChars="200" w:firstLine="200"/>
    </w:p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451</TotalTime>
  <Application>Yozo_Office</Application>
  <Pages>5</Pages>
  <Words>1859</Words>
  <Characters>2025</Characters>
  <Lines>148</Lines>
  <Paragraphs>94</Paragraphs>
  <CharactersWithSpaces>2026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审稿人员1</dc:creator>
  <cp:lastModifiedBy>韩宇</cp:lastModifiedBy>
  <cp:revision>9</cp:revision>
  <dcterms:created xsi:type="dcterms:W3CDTF">2025-03-19T06:56:00Z</dcterms:created>
  <dcterms:modified xsi:type="dcterms:W3CDTF">2026-05-13T07:29:05Z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2052-11.1.0.9912</vt:lpwstr>
  </property>
</Properties>
</file>